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44985">
      <w:pPr>
        <w:jc w:val="center"/>
        <w:rPr>
          <w:rFonts w:hint="eastAsia"/>
          <w:b/>
          <w:sz w:val="72"/>
          <w:highlight w:val="none"/>
        </w:rPr>
      </w:pPr>
    </w:p>
    <w:p w14:paraId="4780AD3B">
      <w:pPr>
        <w:jc w:val="center"/>
        <w:rPr>
          <w:rFonts w:hint="eastAsia"/>
          <w:b/>
          <w:sz w:val="72"/>
          <w:highlight w:val="none"/>
        </w:rPr>
      </w:pPr>
    </w:p>
    <w:p w14:paraId="6A1E5FCF">
      <w:pPr>
        <w:jc w:val="center"/>
        <w:rPr>
          <w:rFonts w:hint="eastAsia"/>
          <w:b/>
          <w:sz w:val="72"/>
          <w:highlight w:val="none"/>
        </w:rPr>
      </w:pPr>
    </w:p>
    <w:p w14:paraId="54B2743D">
      <w:pPr>
        <w:jc w:val="center"/>
        <w:rPr>
          <w:b/>
          <w:sz w:val="72"/>
          <w:highlight w:val="none"/>
        </w:rPr>
      </w:pPr>
      <w:r>
        <w:rPr>
          <w:rFonts w:hint="eastAsia"/>
          <w:b/>
          <w:sz w:val="72"/>
          <w:highlight w:val="none"/>
        </w:rPr>
        <w:t>厦门市杏林医院</w:t>
      </w:r>
    </w:p>
    <w:p w14:paraId="7E983036">
      <w:pPr>
        <w:jc w:val="center"/>
        <w:rPr>
          <w:b/>
          <w:sz w:val="56"/>
          <w:highlight w:val="none"/>
        </w:rPr>
      </w:pPr>
    </w:p>
    <w:p w14:paraId="021FF934">
      <w:pPr>
        <w:jc w:val="center"/>
        <w:rPr>
          <w:b/>
          <w:sz w:val="56"/>
          <w:highlight w:val="none"/>
        </w:rPr>
      </w:pPr>
    </w:p>
    <w:p w14:paraId="6BE3A17A">
      <w:pPr>
        <w:jc w:val="center"/>
        <w:rPr>
          <w:b/>
          <w:sz w:val="56"/>
          <w:highlight w:val="none"/>
        </w:rPr>
      </w:pPr>
      <w:r>
        <w:rPr>
          <w:rFonts w:hint="eastAsia"/>
          <w:b/>
          <w:sz w:val="56"/>
          <w:highlight w:val="none"/>
        </w:rPr>
        <w:t>职工住房租赁合作服务商比选文件</w:t>
      </w:r>
    </w:p>
    <w:p w14:paraId="5470D2AE">
      <w:pPr>
        <w:jc w:val="center"/>
        <w:rPr>
          <w:b/>
          <w:sz w:val="56"/>
          <w:highlight w:val="none"/>
        </w:rPr>
      </w:pPr>
    </w:p>
    <w:p w14:paraId="1C6498B8">
      <w:pPr>
        <w:jc w:val="center"/>
        <w:rPr>
          <w:b/>
          <w:sz w:val="56"/>
          <w:highlight w:val="none"/>
        </w:rPr>
      </w:pPr>
    </w:p>
    <w:p w14:paraId="3BB89DFF">
      <w:pPr>
        <w:jc w:val="center"/>
        <w:rPr>
          <w:b/>
          <w:sz w:val="56"/>
          <w:highlight w:val="none"/>
        </w:rPr>
      </w:pPr>
    </w:p>
    <w:p w14:paraId="4F21CE08">
      <w:pPr>
        <w:jc w:val="center"/>
        <w:rPr>
          <w:b/>
          <w:sz w:val="56"/>
          <w:highlight w:val="none"/>
        </w:rPr>
      </w:pPr>
    </w:p>
    <w:p w14:paraId="7C7EEAFC">
      <w:pPr>
        <w:jc w:val="center"/>
        <w:rPr>
          <w:rFonts w:ascii="宋体" w:hAnsi="宋体"/>
          <w:sz w:val="44"/>
          <w:highlight w:val="none"/>
        </w:rPr>
      </w:pPr>
      <w:r>
        <w:rPr>
          <w:rFonts w:hint="eastAsia" w:ascii="宋体" w:hAnsi="宋体"/>
          <w:sz w:val="44"/>
          <w:highlight w:val="none"/>
        </w:rPr>
        <w:t>202</w:t>
      </w:r>
      <w:r>
        <w:rPr>
          <w:rFonts w:hint="eastAsia" w:ascii="宋体" w:hAnsi="宋体"/>
          <w:sz w:val="44"/>
          <w:highlight w:val="none"/>
          <w:lang w:val="en-US" w:eastAsia="zh-CN"/>
        </w:rPr>
        <w:t>6</w:t>
      </w:r>
      <w:r>
        <w:rPr>
          <w:rFonts w:hint="eastAsia" w:ascii="宋体" w:hAnsi="宋体"/>
          <w:sz w:val="44"/>
          <w:highlight w:val="none"/>
        </w:rPr>
        <w:t>年</w:t>
      </w:r>
      <w:r>
        <w:rPr>
          <w:rFonts w:hint="eastAsia" w:ascii="宋体" w:hAnsi="宋体"/>
          <w:sz w:val="44"/>
          <w:highlight w:val="none"/>
          <w:lang w:val="en-US" w:eastAsia="zh-CN"/>
        </w:rPr>
        <w:t>7</w:t>
      </w:r>
      <w:r>
        <w:rPr>
          <w:rFonts w:hint="eastAsia" w:ascii="宋体" w:hAnsi="宋体"/>
          <w:sz w:val="44"/>
          <w:highlight w:val="none"/>
        </w:rPr>
        <w:t>月</w:t>
      </w:r>
    </w:p>
    <w:p w14:paraId="502470F8">
      <w:pPr>
        <w:rPr>
          <w:b/>
          <w:sz w:val="56"/>
          <w:highlight w:val="none"/>
        </w:rPr>
      </w:pPr>
    </w:p>
    <w:p w14:paraId="0D454174">
      <w:pPr>
        <w:rPr>
          <w:b/>
          <w:sz w:val="56"/>
          <w:highlight w:val="none"/>
        </w:rPr>
        <w:sectPr>
          <w:footerReference r:id="rId3" w:type="default"/>
          <w:pgSz w:w="11906" w:h="16838"/>
          <w:pgMar w:top="1418" w:right="1418" w:bottom="1418" w:left="1418" w:header="851" w:footer="992" w:gutter="0"/>
          <w:cols w:space="720" w:num="1"/>
          <w:docGrid w:type="lines" w:linePitch="312" w:charSpace="0"/>
        </w:sectPr>
      </w:pPr>
    </w:p>
    <w:p w14:paraId="31A67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afterLines="100" w:line="360" w:lineRule="auto"/>
        <w:textAlignment w:val="auto"/>
        <w:outlineLvl w:val="0"/>
        <w:rPr>
          <w:rFonts w:hint="eastAsia" w:eastAsiaTheme="minorEastAsia"/>
          <w:b/>
          <w:sz w:val="32"/>
          <w:highlight w:val="none"/>
          <w:lang w:eastAsia="zh-CN"/>
        </w:rPr>
      </w:pPr>
      <w:r>
        <w:rPr>
          <w:rFonts w:hint="eastAsia"/>
          <w:b/>
          <w:sz w:val="32"/>
          <w:highlight w:val="none"/>
        </w:rPr>
        <w:t>一、项目概况</w:t>
      </w:r>
    </w:p>
    <w:p w14:paraId="1EA98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/>
          <w:sz w:val="28"/>
          <w:highlight w:val="none"/>
          <w:lang w:eastAsia="zh-CN"/>
        </w:rPr>
        <w:t>1.比选人：厦门市杏林医院</w:t>
      </w:r>
    </w:p>
    <w:p w14:paraId="29A60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/>
          <w:sz w:val="28"/>
          <w:highlight w:val="none"/>
          <w:lang w:eastAsia="zh-CN"/>
        </w:rPr>
        <w:t>2.项目名称：职工住房租赁合作服务</w:t>
      </w:r>
    </w:p>
    <w:p w14:paraId="66A39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/>
          <w:sz w:val="28"/>
          <w:highlight w:val="none"/>
          <w:lang w:val="en-US" w:eastAsia="zh-CN"/>
        </w:rPr>
        <w:t>3</w:t>
      </w:r>
      <w:r>
        <w:rPr>
          <w:rFonts w:hint="eastAsia" w:ascii="宋体" w:hAnsi="宋体"/>
          <w:sz w:val="28"/>
          <w:highlight w:val="none"/>
          <w:lang w:eastAsia="zh-CN"/>
        </w:rPr>
        <w:t>.医院依据院内管理实际需要，有权对入库合作服务商名单进行动态调整。</w:t>
      </w:r>
    </w:p>
    <w:p w14:paraId="47177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/>
          <w:sz w:val="28"/>
          <w:highlight w:val="none"/>
          <w:lang w:val="en-US" w:eastAsia="zh-CN"/>
        </w:rPr>
        <w:t>4.医院根据职工住宿实际需求，由职工从入围供应商中择优选用房源服务，不保证各入围供应商均等承接业务，供应商须无条件予以配合。</w:t>
      </w:r>
    </w:p>
    <w:p w14:paraId="57286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/>
          <w:sz w:val="28"/>
          <w:highlight w:val="none"/>
          <w:lang w:val="en-US" w:eastAsia="zh-CN"/>
        </w:rPr>
        <w:t>5.入围供应商应配备经验丰富、专业能力突出的专属服务人员，确保提供全流程规范化租赁服务。</w:t>
      </w:r>
    </w:p>
    <w:p w14:paraId="78D86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/>
          <w:sz w:val="28"/>
          <w:highlight w:val="none"/>
          <w:lang w:val="en-US" w:eastAsia="zh-CN"/>
        </w:rPr>
      </w:pPr>
      <w:r>
        <w:rPr>
          <w:rFonts w:hint="eastAsia" w:ascii="宋体" w:hAnsi="宋体"/>
          <w:sz w:val="28"/>
          <w:highlight w:val="none"/>
          <w:lang w:val="en-US" w:eastAsia="zh-CN"/>
        </w:rPr>
        <w:t>6.供应商须积极配合医院完成房源信息备案、入住对接、数据报送等全流程管理工作，并严格按要求落实各项服务标准。</w:t>
      </w:r>
    </w:p>
    <w:p w14:paraId="1A39F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afterLines="100" w:line="360" w:lineRule="auto"/>
        <w:textAlignment w:val="auto"/>
        <w:outlineLvl w:val="0"/>
        <w:rPr>
          <w:rFonts w:ascii="等线" w:hAnsi="等线" w:eastAsia="等线" w:cs="等线"/>
          <w:b/>
          <w:bCs/>
          <w:i w:val="0"/>
          <w:iCs w:val="0"/>
          <w:color w:val="000000"/>
          <w:sz w:val="22"/>
          <w:szCs w:val="22"/>
          <w:u w:val="none"/>
        </w:rPr>
      </w:pPr>
      <w:r>
        <w:rPr>
          <w:rFonts w:hint="eastAsia"/>
          <w:b/>
          <w:sz w:val="32"/>
          <w:highlight w:val="none"/>
        </w:rPr>
        <w:t>二、综合评分办法</w:t>
      </w:r>
    </w:p>
    <w:p w14:paraId="3FFF6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ascii="等线" w:hAnsi="等线" w:eastAsia="等线" w:cs="等线"/>
          <w:b/>
          <w:bCs/>
          <w:i w:val="0"/>
          <w:iCs w:val="0"/>
          <w:color w:val="000000"/>
          <w:sz w:val="22"/>
          <w:szCs w:val="22"/>
          <w:u w:val="none"/>
        </w:rPr>
      </w:pPr>
      <w:r>
        <w:rPr>
          <w:rFonts w:hint="eastAsia" w:ascii="宋体" w:hAnsi="宋体"/>
          <w:b/>
          <w:bCs/>
          <w:sz w:val="28"/>
          <w:highlight w:val="none"/>
          <w:u w:val="single"/>
          <w:lang w:val="en-US" w:eastAsia="zh-CN"/>
        </w:rPr>
        <w:t>本项目通过综合评分法择优选取2家合作服务商</w:t>
      </w:r>
      <w:r>
        <w:rPr>
          <w:rFonts w:hint="eastAsia" w:ascii="宋体" w:hAnsi="宋体"/>
          <w:sz w:val="28"/>
          <w:highlight w:val="none"/>
          <w:lang w:val="en-US" w:eastAsia="zh-CN"/>
        </w:rPr>
        <w:t>。具体评审标准如下表：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410"/>
        <w:gridCol w:w="4065"/>
        <w:gridCol w:w="660"/>
        <w:gridCol w:w="1565"/>
      </w:tblGrid>
      <w:tr w14:paraId="677A9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C4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序号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4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评分类别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42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评分细则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A1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分值</w:t>
            </w:r>
          </w:p>
        </w:tc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E7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佐证材料</w:t>
            </w:r>
          </w:p>
        </w:tc>
      </w:tr>
      <w:tr w14:paraId="2ADFD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08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</w:p>
        </w:tc>
        <w:tc>
          <w:tcPr>
            <w:tcW w:w="8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31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企业资质与运营实力（10分）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EF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1.供应商为境内依法注册的独立法人，营业执照经营范围包含住房租赁相关信息，得5分；未提供材料或者材料不符合要求的不得分。</w:t>
            </w:r>
          </w:p>
        </w:tc>
        <w:tc>
          <w:tcPr>
            <w:tcW w:w="3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E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9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90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营业执照、备案凭证、在管房源清单、租赁备案证明或运营合同</w:t>
            </w:r>
          </w:p>
        </w:tc>
      </w:tr>
      <w:tr w14:paraId="00FDB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74C0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40B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95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2.已按厦门市规定完成住房租赁企业开业信息报送，房屋已完成租赁备案，得5分；未完成备案的不得分。</w:t>
            </w:r>
          </w:p>
        </w:tc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C909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9157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79BE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1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</w:t>
            </w:r>
          </w:p>
        </w:tc>
        <w:tc>
          <w:tcPr>
            <w:tcW w:w="8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6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房源权属与安全合规（20分）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07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3.全部拟供房源权属清晰，须提供产权证明、合法出租授权文件或相关证明材料。无抵押、查封、权属争议、违建、临时建筑等禁租情形，得10分；房源有违规情形的本项不得分。</w:t>
            </w:r>
          </w:p>
        </w:tc>
        <w:tc>
          <w:tcPr>
            <w:tcW w:w="3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C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9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F1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权属证明/授权文件、相关证明、房屋安全检测材料、消防安全检查</w:t>
            </w:r>
          </w:p>
        </w:tc>
      </w:tr>
      <w:tr w14:paraId="6073C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4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D09E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9EAD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3D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4.所有房源符合国家及厦门市房屋安全、消防安全强制性标准，得10分；无相关证明或存在明确安全隐患的本项不得分。</w:t>
            </w:r>
          </w:p>
        </w:tc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E84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2BDE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3A8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E6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</w:t>
            </w:r>
          </w:p>
        </w:tc>
        <w:tc>
          <w:tcPr>
            <w:tcW w:w="8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3C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房源储备与覆盖能力（20分）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8E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5.当前正常运营的小区房源至少为1个，每增加1个在营小区信息得2分，本项最高得8分。</w:t>
            </w:r>
          </w:p>
        </w:tc>
        <w:tc>
          <w:tcPr>
            <w:tcW w:w="3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94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9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F2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小区房源清单、定位佐证、实景照片、房源面积明细等</w:t>
            </w:r>
          </w:p>
        </w:tc>
      </w:tr>
      <w:tr w14:paraId="4D894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B212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90F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5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6.距离厦门市杏林医院（厦门市集美区杏林街道洪埭路11号）3公里范围内的小区房源，每有1个得2分，本项最高得6分。</w:t>
            </w:r>
          </w:p>
        </w:tc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DBE1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DBC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EC2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4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C05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EF20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7C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7.在营房源覆盖不同房型面积段，覆盖1种得2分，覆盖2种得4分，覆盖3种及以上得6分。面积段划分参考：≥20㎡单间、≥35㎡一居室、≥65㎡两居室、≥80㎡以上三居室及以上。</w:t>
            </w:r>
          </w:p>
        </w:tc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104E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D8C4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2B8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9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</w:t>
            </w:r>
          </w:p>
        </w:tc>
        <w:tc>
          <w:tcPr>
            <w:tcW w:w="8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AB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房源配套与居住品质（20分）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C0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8.全部房源配齐床、衣柜、书桌、热水器、空调、洗衣机、厨房、油烟机、冰箱、沙发等基础生活设施，满足拎包入住标准，得10分；每缺失一类设施扣1分，扣完为止。</w:t>
            </w:r>
          </w:p>
        </w:tc>
        <w:tc>
          <w:tcPr>
            <w:tcW w:w="3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F5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9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0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房源实景图、设施配置清单、小区环境材料</w:t>
            </w:r>
          </w:p>
        </w:tc>
      </w:tr>
      <w:tr w14:paraId="7532C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4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B44E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54FC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4C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9.所有响应房源根据装修完好、户型规整、电梯条件、采光条件、通风条件进行评价，根据每一项条件酌情得0-2分。小区整体品质完善的，本项最高得10分。</w:t>
            </w:r>
          </w:p>
        </w:tc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698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74F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D34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F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</w:t>
            </w:r>
          </w:p>
        </w:tc>
        <w:tc>
          <w:tcPr>
            <w:tcW w:w="8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3A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租金定价与结算规范（15分）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73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10.承诺租金不高于线下门店、官方小程序、官网等公开渠道发布的基准价，无隐形收费，得8分。</w:t>
            </w:r>
          </w:p>
        </w:tc>
        <w:tc>
          <w:tcPr>
            <w:tcW w:w="3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1B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9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A2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公开定价佐证材料、发票服务承诺或发票凭证、支付规则说明</w:t>
            </w:r>
          </w:p>
        </w:tc>
      </w:tr>
      <w:tr w14:paraId="51681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953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998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C5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11.在公开基准价基础上，给予本院职工专属租金优惠，每优惠5%得2分，本项最高得6分。</w:t>
            </w:r>
          </w:p>
        </w:tc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210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5F84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2524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8BAE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B9A9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42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12.为入住职工开具正规增值税普通发票（项目为住房租赁），支持电子发票推送，得1分。</w:t>
            </w:r>
          </w:p>
        </w:tc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0F4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1FA4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891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D6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</w:t>
            </w:r>
          </w:p>
        </w:tc>
        <w:tc>
          <w:tcPr>
            <w:tcW w:w="8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3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服务能力与配套（15分）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16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13.配备固定专职对接人，预留24小时畅通联系方式，提供闭环对接全流程，得5分；无固定对接人的不得分。</w:t>
            </w:r>
          </w:p>
        </w:tc>
        <w:tc>
          <w:tcPr>
            <w:tcW w:w="3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ED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9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E1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服务方案、对接人信息、供物业服务说明或实景材料佐证。</w:t>
            </w:r>
          </w:p>
        </w:tc>
      </w:tr>
      <w:tr w14:paraId="03F92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4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2C33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F800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6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14.房源所属小区具备规范物业服务、24小时安保、公共保洁、设施维保基础服务得5分；每增加1项增值服务（智能门禁、停车管理、快递驿站、便民维修、小区内休闲绿化区等）的得1分，本项满分10分。</w:t>
            </w:r>
          </w:p>
        </w:tc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86EF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C62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C3F5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9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8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9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389BA9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afterLines="100"/>
        <w:ind w:firstLine="643" w:firstLineChars="200"/>
        <w:textAlignment w:val="auto"/>
        <w:outlineLvl w:val="9"/>
        <w:rPr>
          <w:rFonts w:hint="eastAsia"/>
          <w:b/>
          <w:sz w:val="32"/>
          <w:highlight w:val="none"/>
          <w:u w:val="single"/>
        </w:rPr>
      </w:pPr>
      <w:r>
        <w:rPr>
          <w:rFonts w:hint="eastAsia"/>
          <w:b/>
          <w:sz w:val="32"/>
          <w:highlight w:val="none"/>
          <w:u w:val="single"/>
        </w:rPr>
        <w:t>各参选公司，需做出响应表，并</w:t>
      </w:r>
      <w:r>
        <w:rPr>
          <w:rFonts w:hint="eastAsia"/>
          <w:b/>
          <w:sz w:val="32"/>
          <w:highlight w:val="none"/>
          <w:u w:val="single"/>
          <w:lang w:eastAsia="zh-CN"/>
        </w:rPr>
        <w:t>针对每项评分</w:t>
      </w:r>
      <w:r>
        <w:rPr>
          <w:rFonts w:hint="eastAsia"/>
          <w:b/>
          <w:sz w:val="32"/>
          <w:highlight w:val="none"/>
          <w:u w:val="single"/>
        </w:rPr>
        <w:t>将对应的证明材料页码标注清楚。</w:t>
      </w:r>
    </w:p>
    <w:p w14:paraId="7C570522">
      <w:pPr>
        <w:rPr>
          <w:rFonts w:hint="eastAsia"/>
          <w:b/>
          <w:sz w:val="32"/>
          <w:highlight w:val="none"/>
          <w:u w:val="single"/>
        </w:rPr>
      </w:pPr>
      <w:r>
        <w:rPr>
          <w:rFonts w:hint="eastAsia"/>
          <w:b/>
          <w:sz w:val="32"/>
          <w:highlight w:val="none"/>
          <w:u w:val="single"/>
        </w:rPr>
        <w:br w:type="page"/>
      </w:r>
    </w:p>
    <w:p w14:paraId="1C226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afterLines="100" w:line="360" w:lineRule="auto"/>
        <w:textAlignment w:val="auto"/>
        <w:outlineLvl w:val="0"/>
        <w:rPr>
          <w:rFonts w:hint="eastAsia"/>
          <w:b/>
          <w:sz w:val="32"/>
          <w:highlight w:val="none"/>
        </w:rPr>
      </w:pPr>
      <w:bookmarkStart w:id="0" w:name="_GoBack"/>
      <w:bookmarkEnd w:id="0"/>
      <w:r>
        <w:rPr>
          <w:rFonts w:hint="eastAsia"/>
          <w:b/>
          <w:sz w:val="32"/>
          <w:highlight w:val="none"/>
          <w:lang w:eastAsia="zh-CN"/>
        </w:rPr>
        <w:t>三、</w:t>
      </w:r>
      <w:r>
        <w:rPr>
          <w:rFonts w:hint="eastAsia"/>
          <w:b/>
          <w:sz w:val="32"/>
          <w:highlight w:val="none"/>
        </w:rPr>
        <w:t>入围名单确定规则</w:t>
      </w:r>
    </w:p>
    <w:p w14:paraId="70867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/>
          <w:sz w:val="28"/>
          <w:highlight w:val="none"/>
          <w:lang w:eastAsia="zh-CN"/>
        </w:rPr>
      </w:pPr>
      <w:r>
        <w:rPr>
          <w:rFonts w:hint="eastAsia" w:ascii="宋体" w:hAnsi="宋体"/>
          <w:sz w:val="28"/>
          <w:highlight w:val="none"/>
          <w:lang w:eastAsia="zh-CN"/>
        </w:rPr>
        <w:t>1.依据供应商综合总得分由高至低排序；总得分相同者，按第</w:t>
      </w:r>
      <w:r>
        <w:rPr>
          <w:rFonts w:hint="eastAsia" w:ascii="宋体" w:hAnsi="宋体"/>
          <w:sz w:val="28"/>
          <w:highlight w:val="none"/>
          <w:lang w:val="en-US" w:eastAsia="zh-CN"/>
        </w:rPr>
        <w:t>三项“房源储备与覆盖能力”得分由高至低排序；第三项得分仍相同者，按第四项“房源配套与居住品质”得分由高至低排序；以上情形均相同者，通过随机抽取方式确定排序。</w:t>
      </w:r>
    </w:p>
    <w:p w14:paraId="758BD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/>
          <w:sz w:val="28"/>
          <w:highlight w:val="none"/>
          <w:lang w:eastAsia="zh-CN"/>
        </w:rPr>
      </w:pPr>
      <w:r>
        <w:rPr>
          <w:rFonts w:hint="eastAsia" w:ascii="宋体" w:hAnsi="宋体"/>
          <w:sz w:val="28"/>
          <w:highlight w:val="none"/>
          <w:lang w:eastAsia="zh-CN"/>
        </w:rPr>
        <w:t>2.按供应商排序顺序，择优确定入围合作服务商，建立本院住房租赁服务商入库名单。</w:t>
      </w:r>
    </w:p>
    <w:p w14:paraId="5B407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/>
          <w:sz w:val="28"/>
          <w:highlight w:val="none"/>
          <w:lang w:eastAsia="zh-CN"/>
        </w:rPr>
      </w:pPr>
      <w:r>
        <w:rPr>
          <w:rFonts w:hint="eastAsia" w:ascii="宋体" w:hAnsi="宋体"/>
          <w:sz w:val="28"/>
          <w:highlight w:val="none"/>
          <w:lang w:val="en-US" w:eastAsia="zh-CN"/>
        </w:rPr>
        <w:t>3</w:t>
      </w:r>
      <w:r>
        <w:rPr>
          <w:rFonts w:hint="eastAsia" w:ascii="宋体" w:hAnsi="宋体"/>
          <w:sz w:val="28"/>
          <w:highlight w:val="none"/>
          <w:lang w:eastAsia="zh-CN"/>
        </w:rPr>
        <w:t>.服务期内，如入围服务商资格被取消，由备选服务商依次递补。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706E0">
    <w:pPr>
      <w:pStyle w:val="4"/>
      <w:jc w:val="center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 PAGE   \* MERGEFORMAT 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5</w:t>
    </w:r>
    <w:r>
      <w:rPr>
        <w:rFonts w:ascii="宋体" w:hAnsi="宋体"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16757"/>
    <w:rsid w:val="0B6B03EA"/>
    <w:rsid w:val="2CB16757"/>
    <w:rsid w:val="2EC242EA"/>
    <w:rsid w:val="318D732A"/>
    <w:rsid w:val="4CE156F9"/>
    <w:rsid w:val="57D04444"/>
    <w:rsid w:val="7BB9DEB9"/>
    <w:rsid w:val="7FFF1F96"/>
    <w:rsid w:val="B7BB2545"/>
    <w:rsid w:val="B7CFE38C"/>
    <w:rsid w:val="EEB7B711"/>
    <w:rsid w:val="F75FD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1302</Words>
  <Characters>1350</Characters>
  <Lines>0</Lines>
  <Paragraphs>0</Paragraphs>
  <TotalTime>16</TotalTime>
  <ScaleCrop>false</ScaleCrop>
  <LinksUpToDate>false</LinksUpToDate>
  <CharactersWithSpaces>1441</CharactersWithSpaces>
  <Application>WPS Office_12.8.2.1117_F1E327BC-269C-435d-A152-05C5408002CA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2026-07-13T06:22:00Z</dcterms:created>
  <dc:creator>曹健</dc:creator>
  <cp:lastModifiedBy>xlyy</cp:lastModifiedBy>
  <cp:lastPrinted>2026-07-29T00:44:00Z</cp:lastPrinted>
  <dcterms:modified xsi:type="dcterms:W3CDTF">2026-07-28T16:51:28Z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2052-12.8.2.1117</vt:lpwstr>
  </property>
  <property fmtid="{D5CDD505-2E9C-101B-9397-08002B2CF9AE}" pid="3" name="ICV">
    <vt:lpwstr>9478248443EB8E2E3931636AA0D5D4F5_43</vt:lpwstr>
  </property>
  <property fmtid="{D5CDD505-2E9C-101B-9397-08002B2CF9AE}" pid="4" name="KSOTemplateDocerSaveRecord">
    <vt:lpwstr>eyJoZGlkIjoiMTQ1OWY3ZWM5Y2U2OTU5ZWNjNjVkMThjMTNkNDllZWEiLCJ1c2VySWQiOiI3Mzc5MzU2NzUifQ==</vt:lpwstr>
  </property>
</Properties>
</file>