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小标宋简体" w:hAnsi="宋体" w:eastAsia="方正小标宋简体" w:cs="宋体"/>
          <w:b/>
          <w:bCs/>
          <w:kern w:val="0"/>
          <w:sz w:val="72"/>
          <w:szCs w:val="53"/>
        </w:rPr>
      </w:pPr>
      <w:bookmarkStart w:id="0" w:name="_Toc125129292"/>
      <w:bookmarkStart w:id="1" w:name="_Toc32815540"/>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询价</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小标宋简体" w:hAnsi="宋体" w:eastAsia="方正小标宋简体" w:cs="宋体"/>
          <w:bCs/>
          <w:kern w:val="0"/>
          <w:sz w:val="72"/>
          <w:szCs w:val="53"/>
        </w:rPr>
      </w:pPr>
    </w:p>
    <w:p w14:paraId="1E74F38C">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个人剂量计</w:t>
      </w:r>
      <w:r>
        <w:rPr>
          <w:rFonts w:hint="eastAsia" w:cs="宋体" w:asciiTheme="minorEastAsia" w:hAnsiTheme="minorEastAsia" w:eastAsiaTheme="minorEastAsia"/>
          <w:b/>
          <w:bCs/>
          <w:kern w:val="0"/>
          <w:sz w:val="32"/>
          <w:szCs w:val="32"/>
          <w:lang w:eastAsia="zh-CN"/>
        </w:rPr>
        <w:t>监测</w:t>
      </w:r>
      <w:r>
        <w:rPr>
          <w:rFonts w:hint="eastAsia" w:cs="宋体" w:asciiTheme="minorEastAsia" w:hAnsiTheme="minorEastAsia" w:eastAsiaTheme="minorEastAsia"/>
          <w:b/>
          <w:bCs/>
          <w:kern w:val="0"/>
          <w:sz w:val="32"/>
          <w:szCs w:val="32"/>
        </w:rPr>
        <w:t>服务</w:t>
      </w:r>
    </w:p>
    <w:p w14:paraId="5BCF0F27">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X</w:t>
      </w:r>
      <w:r>
        <w:rPr>
          <w:rFonts w:hint="eastAsia" w:cs="宋体" w:asciiTheme="minorEastAsia" w:hAnsiTheme="minorEastAsia" w:eastAsiaTheme="minorEastAsia"/>
          <w:b/>
          <w:bCs/>
          <w:kern w:val="0"/>
          <w:sz w:val="32"/>
          <w:szCs w:val="32"/>
        </w:rPr>
        <w:t>202600</w:t>
      </w:r>
      <w:r>
        <w:rPr>
          <w:rFonts w:hint="eastAsia" w:cs="宋体" w:asciiTheme="minorEastAsia" w:hAnsiTheme="minorEastAsia" w:eastAsiaTheme="minorEastAsia"/>
          <w:b/>
          <w:bCs/>
          <w:kern w:val="0"/>
          <w:sz w:val="32"/>
          <w:szCs w:val="32"/>
          <w:lang w:val="en-US" w:eastAsia="zh-CN"/>
        </w:rPr>
        <w:t>6</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3</w:t>
      </w:r>
      <w:r>
        <w:rPr>
          <w:rFonts w:cs="宋体" w:asciiTheme="minorEastAsia" w:hAnsiTheme="minorEastAsia" w:eastAsiaTheme="minorEastAsia"/>
          <w:b/>
          <w:bCs/>
          <w:kern w:val="0"/>
          <w:sz w:val="32"/>
          <w:szCs w:val="32"/>
        </w:rPr>
        <w:t>月</w:t>
      </w:r>
    </w:p>
    <w:p w14:paraId="74424270">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6AB02814">
          <w:pPr>
            <w:pStyle w:val="29"/>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_Toc1379791847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lang w:eastAsia="zh-CN"/>
            </w:rPr>
            <w:t>采购</w:t>
          </w:r>
          <w:r>
            <w:t>邀请</w:t>
          </w:r>
          <w:r>
            <w:tab/>
          </w:r>
          <w:r>
            <w:fldChar w:fldCharType="begin"/>
          </w:r>
          <w:r>
            <w:instrText xml:space="preserve"> PAGEREF _Toc1379791847 \h </w:instrText>
          </w:r>
          <w:r>
            <w:fldChar w:fldCharType="separate"/>
          </w:r>
          <w:r>
            <w:t>3</w:t>
          </w:r>
          <w:r>
            <w:fldChar w:fldCharType="end"/>
          </w:r>
          <w:r>
            <w:rPr>
              <w:rFonts w:asciiTheme="minorEastAsia" w:hAnsiTheme="minorEastAsia" w:eastAsiaTheme="minorEastAsia"/>
              <w:szCs w:val="24"/>
            </w:rPr>
            <w:fldChar w:fldCharType="end"/>
          </w:r>
        </w:p>
        <w:p w14:paraId="1E51B96C">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_Toc1255471881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_Toc1255471881 \h </w:instrText>
          </w:r>
          <w:r>
            <w:fldChar w:fldCharType="separate"/>
          </w:r>
          <w:r>
            <w:t>5</w:t>
          </w:r>
          <w:r>
            <w:fldChar w:fldCharType="end"/>
          </w:r>
          <w:r>
            <w:rPr>
              <w:rFonts w:asciiTheme="minorEastAsia" w:hAnsiTheme="minorEastAsia" w:eastAsiaTheme="minorEastAsia"/>
            </w:rPr>
            <w:fldChar w:fldCharType="end"/>
          </w:r>
        </w:p>
        <w:p w14:paraId="0A1B269C">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_Toc1027965589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_Toc1027965589 \h </w:instrText>
          </w:r>
          <w:r>
            <w:fldChar w:fldCharType="separate"/>
          </w:r>
          <w:r>
            <w:t>9</w:t>
          </w:r>
          <w:r>
            <w:fldChar w:fldCharType="end"/>
          </w:r>
          <w:r>
            <w:rPr>
              <w:rFonts w:asciiTheme="minorEastAsia" w:hAnsiTheme="minorEastAsia" w:eastAsiaTheme="minorEastAsia"/>
            </w:rPr>
            <w:fldChar w:fldCharType="end"/>
          </w:r>
        </w:p>
        <w:p w14:paraId="54AB179C">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_Toc1387483140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_Toc1387483140 \h </w:instrText>
          </w:r>
          <w:r>
            <w:fldChar w:fldCharType="separate"/>
          </w:r>
          <w:r>
            <w:t>10</w:t>
          </w:r>
          <w:r>
            <w:fldChar w:fldCharType="end"/>
          </w:r>
          <w:r>
            <w:rPr>
              <w:rFonts w:asciiTheme="minorEastAsia" w:hAnsiTheme="minorEastAsia" w:eastAsiaTheme="minorEastAsia"/>
            </w:rPr>
            <w:fldChar w:fldCharType="end"/>
          </w:r>
        </w:p>
        <w:p w14:paraId="72CF01D5">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_Toc926974834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响应</w:t>
          </w:r>
          <w:r>
            <w:t>文件格式</w:t>
          </w:r>
          <w:r>
            <w:tab/>
          </w:r>
          <w:r>
            <w:fldChar w:fldCharType="begin"/>
          </w:r>
          <w:r>
            <w:instrText xml:space="preserve"> PAGEREF _Toc926974834 \h </w:instrText>
          </w:r>
          <w:r>
            <w:fldChar w:fldCharType="separate"/>
          </w:r>
          <w:r>
            <w:t>14</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1C9CB2A4">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7FE6487">
      <w:pPr>
        <w:pStyle w:val="2"/>
        <w:spacing w:before="240" w:after="240"/>
      </w:pPr>
      <w:bookmarkStart w:id="2" w:name="_Toc1379791847"/>
      <w:r>
        <w:t>第一章</w:t>
      </w:r>
      <w:r>
        <w:rPr>
          <w:rFonts w:hint="eastAsia" w:ascii="宋体" w:hAnsi="宋体" w:eastAsia="宋体" w:cs="宋体"/>
        </w:rPr>
        <w:t xml:space="preserve">  </w:t>
      </w:r>
      <w:r>
        <w:rPr>
          <w:rFonts w:hint="eastAsia"/>
          <w:lang w:eastAsia="zh-CN"/>
        </w:rPr>
        <w:t>采购</w:t>
      </w:r>
      <w:r>
        <w:t>邀请</w:t>
      </w:r>
      <w:bookmarkEnd w:id="2"/>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val="en-US" w:eastAsia="zh-CN"/>
        </w:rPr>
        <w:t>询价</w:t>
      </w:r>
      <w:r>
        <w:rPr>
          <w:rFonts w:hint="eastAsia" w:cs="宋体" w:asciiTheme="minorEastAsia" w:hAnsiTheme="minorEastAsia" w:eastAsiaTheme="minorEastAsia"/>
          <w:b/>
          <w:kern w:val="0"/>
          <w:sz w:val="24"/>
          <w:u w:val="single"/>
        </w:rPr>
        <w:t>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活动。</w:t>
      </w:r>
    </w:p>
    <w:p w14:paraId="73CEF4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个人剂量计</w:t>
      </w:r>
      <w:r>
        <w:rPr>
          <w:rFonts w:hint="eastAsia" w:cs="宋体" w:asciiTheme="minorEastAsia" w:hAnsiTheme="minorEastAsia" w:eastAsiaTheme="minorEastAsia"/>
          <w:kern w:val="0"/>
          <w:sz w:val="24"/>
          <w:lang w:eastAsia="zh-CN"/>
        </w:rPr>
        <w:t>监测</w:t>
      </w:r>
      <w:r>
        <w:rPr>
          <w:rFonts w:hint="eastAsia" w:cs="宋体" w:asciiTheme="minorEastAsia" w:hAnsiTheme="minorEastAsia" w:eastAsiaTheme="minorEastAsia"/>
          <w:kern w:val="0"/>
          <w:sz w:val="24"/>
        </w:rPr>
        <w:t>服务</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highlight w:val="none"/>
        </w:rPr>
        <w:t>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cs="宋体" w:asciiTheme="minorEastAsia" w:hAnsiTheme="minorEastAsia" w:eastAsia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lang w:eastAsia="zh-CN"/>
        </w:rPr>
        <w:t>王老师</w:t>
      </w:r>
      <w:r>
        <w:rPr>
          <w:rFonts w:hint="eastAsia" w:cs="宋体" w:asciiTheme="minorEastAsia" w:hAnsiTheme="minorEastAsia" w:eastAsiaTheme="minorEastAsia"/>
          <w:kern w:val="0"/>
          <w:sz w:val="24"/>
        </w:rPr>
        <w:t>，联系方式：0592-62486</w:t>
      </w:r>
      <w:r>
        <w:rPr>
          <w:rFonts w:hint="eastAsia" w:cs="宋体" w:asciiTheme="minorEastAsia" w:hAnsiTheme="minorEastAsia" w:eastAsiaTheme="minorEastAsia"/>
          <w:kern w:val="0"/>
          <w:sz w:val="24"/>
          <w:lang w:val="en-US" w:eastAsia="zh-CN"/>
        </w:rPr>
        <w:t>35</w:t>
      </w:r>
    </w:p>
    <w:p w14:paraId="2B8B472A">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50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2036"/>
        <w:gridCol w:w="794"/>
        <w:gridCol w:w="1006"/>
        <w:gridCol w:w="1496"/>
        <w:gridCol w:w="1551"/>
        <w:gridCol w:w="1478"/>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115"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435"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819"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849"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服务期限</w:t>
            </w:r>
          </w:p>
        </w:tc>
        <w:tc>
          <w:tcPr>
            <w:tcW w:w="809"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020E72A0">
            <w:pPr>
              <w:spacing w:line="360" w:lineRule="auto"/>
              <w:jc w:val="center"/>
              <w:rPr>
                <w:rFonts w:ascii="宋体" w:hAnsi="宋体" w:cs="宋体"/>
                <w:kern w:val="0"/>
                <w:sz w:val="24"/>
              </w:rPr>
            </w:pPr>
            <w:r>
              <w:rPr>
                <w:rFonts w:hint="eastAsia" w:ascii="宋体" w:hAnsi="宋体" w:cs="宋体"/>
                <w:kern w:val="0"/>
                <w:sz w:val="24"/>
              </w:rPr>
              <w:t>1</w:t>
            </w:r>
          </w:p>
        </w:tc>
        <w:tc>
          <w:tcPr>
            <w:tcW w:w="1115"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hint="eastAsia" w:ascii="宋体" w:hAnsi="宋体" w:eastAsia="宋体" w:cs="宋体"/>
                <w:kern w:val="0"/>
                <w:sz w:val="24"/>
                <w:lang w:eastAsia="zh-CN"/>
              </w:rPr>
            </w:pPr>
            <w:r>
              <w:rPr>
                <w:rFonts w:hint="eastAsia" w:cs="宋体" w:asciiTheme="minorEastAsia" w:hAnsiTheme="minorEastAsia" w:eastAsiaTheme="minorEastAsia"/>
                <w:kern w:val="0"/>
                <w:sz w:val="24"/>
              </w:rPr>
              <w:t>个人剂量计</w:t>
            </w:r>
            <w:r>
              <w:rPr>
                <w:rFonts w:hint="eastAsia" w:cs="宋体" w:asciiTheme="minorEastAsia" w:hAnsiTheme="minorEastAsia" w:eastAsiaTheme="minorEastAsia"/>
                <w:kern w:val="0"/>
                <w:sz w:val="24"/>
                <w:lang w:eastAsia="zh-CN"/>
              </w:rPr>
              <w:t>监测</w:t>
            </w:r>
            <w:r>
              <w:rPr>
                <w:rFonts w:hint="eastAsia" w:cs="宋体" w:asciiTheme="minorEastAsia" w:hAnsiTheme="minorEastAsia" w:eastAsiaTheme="minorEastAsia"/>
                <w:kern w:val="0"/>
                <w:sz w:val="24"/>
              </w:rPr>
              <w:t>服务</w:t>
            </w:r>
          </w:p>
        </w:tc>
        <w:tc>
          <w:tcPr>
            <w:tcW w:w="435"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ascii="宋体" w:hAnsi="宋体" w:cs="宋体"/>
                <w:kern w:val="0"/>
                <w:sz w:val="24"/>
              </w:rPr>
            </w:pPr>
            <w:r>
              <w:rPr>
                <w:rFonts w:hint="eastAsia" w:ascii="宋体" w:hAnsi="宋体" w:cs="宋体"/>
                <w:kern w:val="0"/>
                <w:sz w:val="24"/>
              </w:rPr>
              <w:t>否</w:t>
            </w:r>
          </w:p>
        </w:tc>
        <w:tc>
          <w:tcPr>
            <w:tcW w:w="55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819"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5000元</w:t>
            </w:r>
          </w:p>
        </w:tc>
        <w:tc>
          <w:tcPr>
            <w:tcW w:w="849"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合同签订之日起1年</w:t>
            </w:r>
          </w:p>
        </w:tc>
        <w:tc>
          <w:tcPr>
            <w:tcW w:w="809"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2D1364D3"/>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5677721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6B21F067">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3、本次采购的项目为可延续采购的服务项目，在合同内容没有变更的前提下，经采购人确认后，采购人、中标人双方将参考《关于服务项目延续采购有关问题的通知》(厦财采〔2023〕2号)进行合同续签，但最长合同期限不得超过3年。</w:t>
      </w:r>
    </w:p>
    <w:p w14:paraId="61F2B35D">
      <w:pPr>
        <w:widowControl/>
        <w:spacing w:line="360" w:lineRule="auto"/>
        <w:ind w:firstLine="480" w:firstLineChars="200"/>
        <w:jc w:val="left"/>
        <w:rPr>
          <w:rFonts w:cs="宋体" w:asciiTheme="minorEastAsia" w:hAnsiTheme="minorEastAsia" w:eastAsiaTheme="minorEastAsia"/>
          <w:kern w:val="0"/>
          <w:sz w:val="24"/>
        </w:rPr>
      </w:pPr>
    </w:p>
    <w:p w14:paraId="0F659E25">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0500DBA">
      <w:pPr>
        <w:pStyle w:val="2"/>
        <w:spacing w:before="240" w:after="240"/>
      </w:pPr>
      <w:bookmarkStart w:id="3" w:name="_Toc1255471881"/>
      <w:r>
        <w:t>第</w:t>
      </w:r>
      <w:r>
        <w:rPr>
          <w:rFonts w:hint="eastAsia"/>
        </w:rPr>
        <w:t>二</w:t>
      </w:r>
      <w:r>
        <w:t>章</w:t>
      </w:r>
      <w:r>
        <w:rPr>
          <w:rFonts w:hint="eastAsia"/>
        </w:rPr>
        <w:t xml:space="preserve">  资格及符合性要求</w:t>
      </w:r>
      <w:bookmarkEnd w:id="3"/>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7C05EBD6">
            <w:pPr>
              <w:spacing w:line="276" w:lineRule="auto"/>
            </w:pPr>
            <w:r>
              <w:rPr>
                <w:rFonts w:hint="eastAsia" w:ascii="宋体" w:hAnsi="宋体" w:cs="宋体"/>
                <w:kern w:val="0"/>
                <w:sz w:val="24"/>
              </w:rPr>
              <w:t>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w:t>
            </w:r>
            <w:bookmarkStart w:id="7" w:name="_GoBack"/>
            <w:bookmarkEnd w:id="7"/>
            <w:r>
              <w:rPr>
                <w:rFonts w:hint="eastAsia" w:ascii="宋体" w:hAnsi="宋体" w:cs="宋体"/>
                <w:kern w:val="0"/>
                <w:sz w:val="24"/>
              </w:rPr>
              <w:t xml:space="preserve">的，视同联合体存在不良信用记录，联合体资格审查不合格。 </w:t>
            </w: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r w14:paraId="48E5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152CF598">
            <w:pPr>
              <w:widowControl/>
              <w:spacing w:line="360" w:lineRule="auto"/>
              <w:jc w:val="center"/>
              <w:rPr>
                <w:rFonts w:hint="eastAsia" w:ascii="宋体" w:hAnsi="宋体" w:eastAsia="宋体" w:cs="宋体"/>
                <w:kern w:val="0"/>
                <w:sz w:val="24"/>
                <w:highlight w:val="yellow"/>
                <w:lang w:eastAsia="zh-CN"/>
              </w:rPr>
            </w:pPr>
            <w:r>
              <w:rPr>
                <w:rFonts w:hint="eastAsia" w:ascii="宋体" w:hAnsi="宋体" w:cs="宋体"/>
                <w:b/>
                <w:bCs/>
                <w:kern w:val="0"/>
                <w:sz w:val="24"/>
                <w:highlight w:val="yellow"/>
              </w:rPr>
              <w:t>★</w:t>
            </w:r>
            <w:r>
              <w:rPr>
                <w:rFonts w:hint="eastAsia" w:ascii="宋体" w:hAnsi="宋体" w:cs="宋体"/>
                <w:b/>
                <w:bCs/>
                <w:kern w:val="0"/>
                <w:sz w:val="24"/>
                <w:highlight w:val="yellow"/>
                <w:lang w:eastAsia="zh-CN"/>
              </w:rPr>
              <w:t>资质要求</w:t>
            </w:r>
          </w:p>
        </w:tc>
        <w:tc>
          <w:tcPr>
            <w:tcW w:w="3491" w:type="pct"/>
            <w:vAlign w:val="center"/>
          </w:tcPr>
          <w:p w14:paraId="57455367">
            <w:pPr>
              <w:widowControl/>
              <w:spacing w:line="360" w:lineRule="auto"/>
              <w:rPr>
                <w:rFonts w:hint="default" w:ascii="宋体" w:hAnsi="宋体" w:eastAsia="宋体" w:cs="宋体"/>
                <w:kern w:val="0"/>
                <w:sz w:val="24"/>
                <w:highlight w:val="yellow"/>
                <w:lang w:val="en-US" w:eastAsia="zh-CN"/>
              </w:rPr>
            </w:pPr>
            <w:r>
              <w:rPr>
                <w:rFonts w:hint="eastAsia" w:ascii="宋体" w:hAnsi="宋体" w:cs="宋体"/>
                <w:b/>
                <w:bCs/>
                <w:kern w:val="0"/>
                <w:sz w:val="24"/>
                <w:highlight w:val="yellow"/>
                <w:u w:val="single"/>
              </w:rPr>
              <w:t>具备（CMA）检验</w:t>
            </w:r>
            <w:r>
              <w:rPr>
                <w:rFonts w:hint="eastAsia" w:ascii="宋体" w:hAnsi="宋体" w:cs="宋体"/>
                <w:b/>
                <w:bCs/>
                <w:kern w:val="0"/>
                <w:sz w:val="24"/>
                <w:highlight w:val="yellow"/>
                <w:u w:val="single"/>
                <w:lang w:eastAsia="zh-CN"/>
              </w:rPr>
              <w:t>监测</w:t>
            </w:r>
            <w:r>
              <w:rPr>
                <w:rFonts w:hint="eastAsia" w:ascii="宋体" w:hAnsi="宋体" w:cs="宋体"/>
                <w:b/>
                <w:bCs/>
                <w:kern w:val="0"/>
                <w:sz w:val="24"/>
                <w:highlight w:val="yellow"/>
                <w:u w:val="single"/>
              </w:rPr>
              <w:t>机构资质认定，经营范围须包含个人剂量计</w:t>
            </w:r>
            <w:r>
              <w:rPr>
                <w:rFonts w:hint="eastAsia" w:ascii="宋体" w:hAnsi="宋体" w:cs="宋体"/>
                <w:b/>
                <w:bCs/>
                <w:kern w:val="0"/>
                <w:sz w:val="24"/>
                <w:highlight w:val="yellow"/>
                <w:u w:val="single"/>
                <w:lang w:eastAsia="zh-CN"/>
              </w:rPr>
              <w:t>监测</w:t>
            </w:r>
            <w:r>
              <w:rPr>
                <w:rFonts w:hint="eastAsia" w:ascii="宋体" w:hAnsi="宋体" w:cs="宋体"/>
                <w:b/>
                <w:bCs/>
                <w:kern w:val="0"/>
                <w:sz w:val="24"/>
                <w:highlight w:val="yellow"/>
                <w:u w:val="single"/>
              </w:rPr>
              <w:t>相关内容</w:t>
            </w:r>
            <w:r>
              <w:rPr>
                <w:rFonts w:hint="eastAsia" w:ascii="宋体" w:hAnsi="宋体" w:cs="宋体"/>
                <w:b/>
                <w:bCs/>
                <w:kern w:val="0"/>
                <w:sz w:val="24"/>
                <w:highlight w:val="yellow"/>
                <w:u w:val="single"/>
                <w:lang w:eastAsia="zh-CN"/>
              </w:rPr>
              <w:t>。供应商需提供相应佐证材料并加盖公章，否则视为无效响应。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w:t>
            </w:r>
            <w:r>
              <w:rPr>
                <w:rFonts w:hint="eastAsia" w:ascii="宋体" w:hAnsi="宋体" w:cs="宋体"/>
                <w:kern w:val="0"/>
                <w:sz w:val="24"/>
                <w:lang w:eastAsia="zh-CN"/>
              </w:rPr>
              <w:t>询价</w:t>
            </w:r>
            <w:r>
              <w:rPr>
                <w:rFonts w:ascii="宋体" w:hAnsi="宋体" w:cs="宋体"/>
                <w:kern w:val="0"/>
                <w:sz w:val="24"/>
              </w:rPr>
              <w:t>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w:t>
            </w:r>
            <w:r>
              <w:rPr>
                <w:rFonts w:hint="eastAsia" w:ascii="宋体" w:hAnsi="宋体" w:cs="宋体"/>
                <w:kern w:val="0"/>
                <w:sz w:val="24"/>
                <w:lang w:eastAsia="zh-CN"/>
              </w:rPr>
              <w:t>询价</w:t>
            </w:r>
            <w:r>
              <w:rPr>
                <w:rFonts w:hint="eastAsia" w:ascii="宋体" w:hAnsi="宋体" w:cs="宋体"/>
                <w:kern w:val="0"/>
                <w:sz w:val="24"/>
              </w:rPr>
              <w:t>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w:t>
            </w:r>
            <w:r>
              <w:rPr>
                <w:rFonts w:hint="eastAsia" w:ascii="宋体" w:hAnsi="宋体" w:cs="宋体"/>
                <w:kern w:val="0"/>
                <w:sz w:val="24"/>
                <w:lang w:eastAsia="zh-CN"/>
              </w:rPr>
              <w:t>询价</w:t>
            </w:r>
            <w:r>
              <w:rPr>
                <w:rFonts w:hint="eastAsia" w:ascii="宋体" w:hAnsi="宋体" w:cs="宋体"/>
                <w:kern w:val="0"/>
                <w:sz w:val="24"/>
              </w:rPr>
              <w:t>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w:t>
      </w:r>
      <w:r>
        <w:rPr>
          <w:rFonts w:hint="eastAsia" w:cs="宋体" w:asciiTheme="minorEastAsia" w:hAnsiTheme="minorEastAsia" w:eastAsiaTheme="minorEastAsia"/>
          <w:kern w:val="0"/>
          <w:sz w:val="24"/>
          <w:lang w:eastAsia="zh-CN"/>
        </w:rPr>
        <w:t>监测</w:t>
      </w:r>
      <w:r>
        <w:rPr>
          <w:rFonts w:cs="宋体" w:asciiTheme="minorEastAsia" w:hAnsiTheme="minorEastAsia" w:eastAsiaTheme="minorEastAsia"/>
          <w:kern w:val="0"/>
          <w:sz w:val="24"/>
        </w:rPr>
        <w:t>等服务的供应商，不得参加本项目除整体设计、规范编制和项目管理、监理、</w:t>
      </w:r>
      <w:r>
        <w:rPr>
          <w:rFonts w:hint="eastAsia" w:cs="宋体" w:asciiTheme="minorEastAsia" w:hAnsiTheme="minorEastAsia" w:eastAsiaTheme="minorEastAsia"/>
          <w:kern w:val="0"/>
          <w:sz w:val="24"/>
          <w:lang w:eastAsia="zh-CN"/>
        </w:rPr>
        <w:t>监测</w:t>
      </w:r>
      <w:r>
        <w:rPr>
          <w:rFonts w:cs="宋体" w:asciiTheme="minorEastAsia" w:hAnsiTheme="minorEastAsia" w:eastAsiaTheme="minorEastAsia"/>
          <w:kern w:val="0"/>
          <w:sz w:val="24"/>
        </w:rPr>
        <w:t>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lang w:eastAsia="zh-CN"/>
        </w:rPr>
        <w:t>采购</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过程中若对材料存疑的，采购人或</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kern w:val="0"/>
          <w:sz w:val="24"/>
          <w:lang w:eastAsia="zh-CN"/>
        </w:rPr>
        <w:t>成交</w:t>
      </w:r>
      <w:r>
        <w:rPr>
          <w:rFonts w:hint="eastAsia" w:cs="宋体" w:asciiTheme="minorEastAsia" w:hAnsiTheme="minorEastAsia" w:eastAsiaTheme="minorEastAsia"/>
          <w:kern w:val="0"/>
          <w:sz w:val="24"/>
        </w:rPr>
        <w:t>后、履约验收阶段要求提供原件的：若供应商未在7个工作日内提供，则认定验收不合格，并按</w:t>
      </w:r>
      <w:r>
        <w:rPr>
          <w:rFonts w:hint="eastAsia" w:cs="宋体" w:asciiTheme="minorEastAsia" w:hAnsiTheme="minorEastAsia" w:eastAsiaTheme="minorEastAsia"/>
          <w:kern w:val="0"/>
          <w:sz w:val="24"/>
          <w:lang w:eastAsia="zh-CN"/>
        </w:rPr>
        <w:t>采购文件</w:t>
      </w:r>
      <w:r>
        <w:rPr>
          <w:rFonts w:hint="eastAsia" w:cs="宋体" w:asciiTheme="minorEastAsia" w:hAnsiTheme="minorEastAsia" w:eastAsiaTheme="minorEastAsia"/>
          <w:kern w:val="0"/>
          <w:sz w:val="24"/>
        </w:rPr>
        <w:t>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小组规定的时间内（一般在半个小时左右，具体要求将根据实际情况在澄清通知中约定）以书面形式向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小组提交书面澄清、说明或补正，则</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63045044">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27699E1">
      <w:pPr>
        <w:pStyle w:val="2"/>
        <w:spacing w:before="240" w:after="240"/>
      </w:pPr>
      <w:bookmarkStart w:id="4" w:name="_Toc1027965589"/>
      <w:r>
        <w:rPr>
          <w:rFonts w:hint="eastAsia"/>
        </w:rPr>
        <w:t>第三章  确定成交供应商办法</w:t>
      </w:r>
      <w:bookmarkEnd w:id="4"/>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采用：</w:t>
      </w:r>
      <w:r>
        <w:rPr>
          <w:rFonts w:hint="eastAsia" w:cs="宋体" w:asciiTheme="minorEastAsia" w:hAnsiTheme="minorEastAsia" w:eastAsiaTheme="minorEastAsia"/>
          <w:kern w:val="0"/>
          <w:sz w:val="24"/>
          <w:highlight w:val="none"/>
        </w:rPr>
        <w:t>最低评审价法</w:t>
      </w:r>
      <w:r>
        <w:rPr>
          <w:rFonts w:cs="宋体" w:asciiTheme="minorEastAsia" w:hAnsiTheme="minorEastAsia" w:eastAsiaTheme="minorEastAsia"/>
          <w:kern w:val="0"/>
          <w:sz w:val="24"/>
          <w:highlight w:val="none"/>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w:t>
      </w:r>
      <w:r>
        <w:rPr>
          <w:rFonts w:hint="eastAsia" w:cs="宋体" w:asciiTheme="minorEastAsia" w:hAnsiTheme="minorEastAsia" w:eastAsiaTheme="minorEastAsia"/>
          <w:color w:val="000000"/>
          <w:kern w:val="0"/>
          <w:sz w:val="24"/>
          <w:lang w:eastAsia="zh-CN"/>
        </w:rPr>
        <w:t>总</w:t>
      </w:r>
      <w:r>
        <w:rPr>
          <w:rFonts w:hint="eastAsia" w:cs="宋体" w:asciiTheme="minorEastAsia" w:hAnsiTheme="minorEastAsia" w:eastAsiaTheme="minorEastAsia"/>
          <w:color w:val="000000"/>
          <w:kern w:val="0"/>
          <w:sz w:val="24"/>
        </w:rPr>
        <w:t>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小组将从质量和服务均能满足采购文件实质性响应要求的供应商中，按照最后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2B4B04CE">
      <w:pPr>
        <w:widowControl/>
        <w:spacing w:line="360" w:lineRule="auto"/>
        <w:jc w:val="left"/>
        <w:rPr>
          <w:rFonts w:cs="宋体" w:asciiTheme="minorEastAsia" w:hAnsiTheme="minorEastAsia" w:eastAsiaTheme="minorEastAsia"/>
          <w:kern w:val="0"/>
          <w:sz w:val="24"/>
        </w:rPr>
      </w:pPr>
    </w:p>
    <w:p w14:paraId="37EE2F6F">
      <w:pPr>
        <w:rPr>
          <w:kern w:val="0"/>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E280FEB">
      <w:pPr>
        <w:pStyle w:val="2"/>
        <w:spacing w:before="240" w:after="240"/>
        <w:rPr>
          <w:rFonts w:ascii="宋体" w:hAnsi="宋体"/>
          <w:sz w:val="24"/>
        </w:rPr>
      </w:pPr>
      <w:bookmarkStart w:id="5" w:name="_Toc1387483140"/>
      <w:r>
        <w:t>第</w:t>
      </w:r>
      <w:r>
        <w:rPr>
          <w:rFonts w:hint="eastAsia"/>
        </w:rPr>
        <w:t>四</w:t>
      </w:r>
      <w:r>
        <w:t>章</w:t>
      </w:r>
      <w:r>
        <w:rPr>
          <w:rFonts w:hint="eastAsia" w:ascii="宋体" w:hAnsi="宋体"/>
        </w:rPr>
        <w:t xml:space="preserve">  </w:t>
      </w:r>
      <w:r>
        <w:rPr>
          <w:rFonts w:hint="eastAsia"/>
        </w:rPr>
        <w:t>采购</w:t>
      </w:r>
      <w:r>
        <w:t>内容及要求</w:t>
      </w:r>
      <w:bookmarkEnd w:id="5"/>
    </w:p>
    <w:p w14:paraId="2FC55095">
      <w:pPr>
        <w:pStyle w:val="70"/>
        <w:numPr>
          <w:ilvl w:val="0"/>
          <w:numId w:val="0"/>
        </w:numPr>
        <w:spacing w:beforeLines="100" w:afterLines="100"/>
        <w:ind w:leftChars="0"/>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9FD97C9">
      <w:pPr>
        <w:pStyle w:val="70"/>
        <w:numPr>
          <w:ilvl w:val="0"/>
          <w:numId w:val="0"/>
        </w:numPr>
        <w:tabs>
          <w:tab w:val="left" w:pos="993"/>
        </w:tabs>
        <w:spacing w:line="360" w:lineRule="auto"/>
        <w:ind w:firstLine="480" w:firstLineChars="200"/>
        <w:rPr>
          <w:rFonts w:hint="eastAsia" w:ascii="宋体" w:hAnsi="宋体"/>
          <w:sz w:val="24"/>
          <w:szCs w:val="28"/>
          <w:lang w:eastAsia="zh-CN"/>
        </w:rPr>
      </w:pPr>
      <w:r>
        <w:rPr>
          <w:rFonts w:hint="eastAsia" w:ascii="宋体" w:hAnsi="宋体"/>
          <w:sz w:val="24"/>
          <w:szCs w:val="28"/>
          <w:lang w:val="en-US" w:eastAsia="zh-CN"/>
        </w:rPr>
        <w:t>1.</w:t>
      </w:r>
      <w:r>
        <w:rPr>
          <w:rFonts w:hint="eastAsia" w:ascii="宋体" w:hAnsi="宋体"/>
          <w:sz w:val="24"/>
          <w:szCs w:val="28"/>
          <w:lang w:eastAsia="zh-CN"/>
        </w:rPr>
        <w:t>本项目为个人剂量计监测服务，服务期限为合同签订之日</w:t>
      </w:r>
      <w:r>
        <w:rPr>
          <w:rFonts w:hint="eastAsia" w:ascii="宋体" w:hAnsi="宋体"/>
          <w:sz w:val="24"/>
          <w:szCs w:val="28"/>
          <w:highlight w:val="none"/>
          <w:lang w:eastAsia="zh-CN"/>
        </w:rPr>
        <w:t>起</w:t>
      </w:r>
      <w:r>
        <w:rPr>
          <w:rFonts w:hint="eastAsia" w:ascii="宋体" w:hAnsi="宋体"/>
          <w:sz w:val="24"/>
          <w:szCs w:val="28"/>
          <w:highlight w:val="none"/>
          <w:lang w:val="en-US" w:eastAsia="zh-CN"/>
        </w:rPr>
        <w:t>1年</w:t>
      </w:r>
      <w:r>
        <w:rPr>
          <w:rFonts w:hint="eastAsia" w:ascii="宋体" w:hAnsi="宋体"/>
          <w:sz w:val="24"/>
          <w:szCs w:val="28"/>
          <w:lang w:eastAsia="zh-CN"/>
        </w:rPr>
        <w:t>，预算为</w:t>
      </w:r>
      <w:r>
        <w:rPr>
          <w:rFonts w:hint="eastAsia" w:ascii="宋体" w:hAnsi="宋体"/>
          <w:sz w:val="24"/>
          <w:szCs w:val="28"/>
          <w:lang w:val="en-US" w:eastAsia="zh-CN"/>
        </w:rPr>
        <w:t>5000</w:t>
      </w:r>
      <w:r>
        <w:rPr>
          <w:rFonts w:hint="eastAsia" w:ascii="宋体" w:hAnsi="宋体"/>
          <w:sz w:val="24"/>
          <w:szCs w:val="28"/>
          <w:lang w:eastAsia="zh-CN"/>
        </w:rPr>
        <w:t>元。</w:t>
      </w:r>
    </w:p>
    <w:p w14:paraId="14D9AA46">
      <w:pPr>
        <w:pStyle w:val="70"/>
        <w:numPr>
          <w:ilvl w:val="0"/>
          <w:numId w:val="0"/>
        </w:numPr>
        <w:tabs>
          <w:tab w:val="left" w:pos="993"/>
        </w:tabs>
        <w:spacing w:line="360" w:lineRule="auto"/>
        <w:ind w:firstLine="480" w:firstLineChars="200"/>
      </w:pPr>
      <w:r>
        <w:rPr>
          <w:rFonts w:hint="eastAsia" w:ascii="宋体" w:hAnsi="宋体"/>
          <w:sz w:val="24"/>
          <w:szCs w:val="28"/>
          <w:lang w:val="en-US" w:eastAsia="zh-CN"/>
        </w:rPr>
        <w:t>2.本项目为按需监测，采购人根据实际在岗放射工作人员数量调整，并按照成交单价进行结算。</w:t>
      </w:r>
    </w:p>
    <w:p w14:paraId="743E91FC">
      <w:pPr>
        <w:pStyle w:val="70"/>
        <w:numPr>
          <w:ilvl w:val="0"/>
          <w:numId w:val="0"/>
        </w:numPr>
        <w:tabs>
          <w:tab w:val="left" w:pos="993"/>
        </w:tabs>
        <w:spacing w:line="360" w:lineRule="auto"/>
        <w:ind w:firstLine="480" w:firstLineChars="200"/>
        <w:rPr>
          <w:rFonts w:hint="default" w:eastAsia="宋体"/>
          <w:lang w:val="en-US" w:eastAsia="zh-CN"/>
        </w:rPr>
      </w:pPr>
      <w:r>
        <w:rPr>
          <w:rFonts w:hint="eastAsia" w:ascii="宋体" w:hAnsi="宋体" w:cs="Times New Roman"/>
          <w:sz w:val="24"/>
          <w:szCs w:val="28"/>
          <w:lang w:val="en-US" w:eastAsia="zh-CN"/>
        </w:rPr>
        <w:t>3.本次采购的项目为可延续采购的服务项目，在合同内容没有变更的前提下，经采购人确认后，采购人、中标人双方将参考《关于服务项目延续采购有关问题的通知》(厦财采〔2023〕2号)进行合同续签，但最长合同期限不得超过3年。</w:t>
      </w:r>
    </w:p>
    <w:p w14:paraId="4FC82BB7">
      <w:pPr>
        <w:pStyle w:val="70"/>
        <w:numPr>
          <w:ilvl w:val="0"/>
          <w:numId w:val="0"/>
        </w:numPr>
        <w:spacing w:beforeLines="100" w:afterLines="100"/>
        <w:ind w:leftChars="0"/>
        <w:rPr>
          <w:rFonts w:hint="eastAsia" w:ascii="宋体" w:hAnsi="宋体"/>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442C496D">
      <w:pPr>
        <w:pStyle w:val="70"/>
        <w:numPr>
          <w:ilvl w:val="0"/>
          <w:numId w:val="0"/>
        </w:numPr>
        <w:tabs>
          <w:tab w:val="left" w:pos="993"/>
        </w:tabs>
        <w:spacing w:line="360" w:lineRule="auto"/>
        <w:ind w:firstLine="482" w:firstLineChars="200"/>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1、</w:t>
      </w:r>
      <w:r>
        <w:rPr>
          <w:rFonts w:hint="eastAsia" w:ascii="宋体" w:hAnsi="宋体"/>
          <w:b/>
          <w:bCs/>
          <w:sz w:val="24"/>
          <w:szCs w:val="28"/>
          <w:lang w:val="en-US" w:eastAsia="zh-CN"/>
        </w:rPr>
        <w:t>监测</w:t>
      </w:r>
      <w:r>
        <w:rPr>
          <w:rFonts w:hint="eastAsia" w:ascii="宋体" w:hAnsi="宋体" w:eastAsia="宋体"/>
          <w:b/>
          <w:bCs/>
          <w:sz w:val="24"/>
          <w:szCs w:val="28"/>
          <w:lang w:val="en-US" w:eastAsia="zh-CN"/>
        </w:rPr>
        <w:t>要求</w:t>
      </w:r>
    </w:p>
    <w:p w14:paraId="248A0158">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1.1供应商须提供符合国家标准的个人剂量计（包括腕式、指环式等，具体类型由采购人根据实际岗位需求确定），并确保数量充足，每季度一次对放射工作人员的受照剂量进行</w:t>
      </w:r>
      <w:r>
        <w:rPr>
          <w:rFonts w:hint="default" w:asciiTheme="minorEastAsia" w:hAnsiTheme="minorEastAsia" w:eastAsiaTheme="minorEastAsia" w:cstheme="minorEastAsia"/>
          <w:color w:val="auto"/>
          <w:sz w:val="24"/>
          <w:szCs w:val="24"/>
          <w:highlight w:val="none"/>
          <w:lang w:val="en-US" w:eastAsia="zh-CN"/>
        </w:rPr>
        <w:t>监</w:t>
      </w:r>
      <w:r>
        <w:rPr>
          <w:rFonts w:hint="eastAsia" w:asciiTheme="minorEastAsia" w:hAnsiTheme="minorEastAsia" w:eastAsiaTheme="minorEastAsia" w:cstheme="minorEastAsia"/>
          <w:color w:val="auto"/>
          <w:sz w:val="24"/>
          <w:szCs w:val="24"/>
          <w:highlight w:val="none"/>
          <w:lang w:val="en-US" w:eastAsia="zh-CN"/>
        </w:rPr>
        <w:t>测。</w:t>
      </w:r>
    </w:p>
    <w:p w14:paraId="356FCE69">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1.2每个季度</w:t>
      </w:r>
      <w:r>
        <w:rPr>
          <w:rFonts w:hint="default" w:asciiTheme="minorEastAsia" w:hAnsiTheme="minorEastAsia" w:eastAsiaTheme="minorEastAsia" w:cstheme="minorEastAsia"/>
          <w:color w:val="auto"/>
          <w:sz w:val="24"/>
          <w:szCs w:val="24"/>
          <w:highlight w:val="none"/>
          <w:lang w:val="en-US" w:eastAsia="zh-CN"/>
        </w:rPr>
        <w:t>监</w:t>
      </w:r>
      <w:r>
        <w:rPr>
          <w:rFonts w:hint="eastAsia" w:asciiTheme="minorEastAsia" w:hAnsiTheme="minorEastAsia" w:eastAsiaTheme="minorEastAsia" w:cstheme="minorEastAsia"/>
          <w:color w:val="auto"/>
          <w:sz w:val="24"/>
          <w:szCs w:val="24"/>
          <w:highlight w:val="none"/>
          <w:lang w:val="en-US" w:eastAsia="zh-CN"/>
        </w:rPr>
        <w:t>测周期到期前，供应商须重新核对放射工作人员名单，在到期前5个工作日将下一季度个人剂量计送达采购人指定地点。采购人将上季度个人剂量计寄回供应商，供应商在回收后10个工作日内出具个人剂量</w:t>
      </w:r>
      <w:r>
        <w:rPr>
          <w:rFonts w:hint="default" w:asciiTheme="minorEastAsia" w:hAnsiTheme="minorEastAsia" w:eastAsiaTheme="minorEastAsia" w:cstheme="minorEastAsia"/>
          <w:color w:val="auto"/>
          <w:sz w:val="24"/>
          <w:szCs w:val="24"/>
          <w:highlight w:val="none"/>
          <w:lang w:val="en-US" w:eastAsia="zh-CN"/>
        </w:rPr>
        <w:t>监</w:t>
      </w:r>
      <w:r>
        <w:rPr>
          <w:rFonts w:hint="eastAsia" w:asciiTheme="minorEastAsia" w:hAnsiTheme="minorEastAsia" w:eastAsiaTheme="minorEastAsia" w:cstheme="minorEastAsia"/>
          <w:color w:val="auto"/>
          <w:sz w:val="24"/>
          <w:szCs w:val="24"/>
          <w:highlight w:val="none"/>
          <w:lang w:val="en-US" w:eastAsia="zh-CN"/>
        </w:rPr>
        <w:t>测报告。报告内容应包括监测结果、评价结论及建议等。</w:t>
      </w:r>
    </w:p>
    <w:p w14:paraId="72251655">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1.3涉及双剂量的个人剂量计外壳使用不同颜色区分铅衣内、外剂量计；</w:t>
      </w:r>
    </w:p>
    <w:p w14:paraId="7D63A2E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1.4在监测周期内，每季度提供至少3个备用剂量计（有使用则计费，未使用退回不计费），允许每个季度至少2个剂量片范围内损耗不计取费用。</w:t>
      </w:r>
    </w:p>
    <w:p w14:paraId="5022139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1.5供应商需给每个科室提供一张对照片。</w:t>
      </w:r>
    </w:p>
    <w:p w14:paraId="1BCA842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1.6根据不同科室单独出具剂量报告，若出现剂量计丢失情况，每季度需出具理论剂量报告；</w:t>
      </w:r>
    </w:p>
    <w:p w14:paraId="176BDA51">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1.7.监测报告要求：提供每季度监测报告及年度报告一式两份，每个科室一份。</w:t>
      </w:r>
    </w:p>
    <w:p w14:paraId="3037E2F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1.8监测质量保障：</w:t>
      </w:r>
    </w:p>
    <w:p w14:paraId="41F7EC6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1.8.1严格按技术标准和规范进行监测评价。</w:t>
      </w:r>
    </w:p>
    <w:p w14:paraId="23ED704B">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1.8.2监测周期为90天（约三个月）。</w:t>
      </w:r>
    </w:p>
    <w:p w14:paraId="2367422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1.8.3为保证数据准确、报告及时，供应商应在提供新一周期剂量计后十日内回收上期全部剂量计（包括参照片）及个人剂量计佩戴者信息表。</w:t>
      </w:r>
    </w:p>
    <w:p w14:paraId="37CA8B50">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6.如监测结果出现异常（如剂量超过调查水平或年限值），供应商须在24小时内通知采购人，并协助进行原因调查和整改。</w:t>
      </w:r>
    </w:p>
    <w:p w14:paraId="47002AC1">
      <w:pPr>
        <w:numPr>
          <w:ilvl w:val="0"/>
          <w:numId w:val="0"/>
        </w:numPr>
        <w:tabs>
          <w:tab w:val="left" w:pos="992"/>
        </w:tabs>
        <w:spacing w:line="460" w:lineRule="exact"/>
        <w:ind w:firstLine="482"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2、技术响应要求</w:t>
      </w:r>
      <w:r>
        <w:rPr>
          <w:rFonts w:hint="eastAsia" w:asciiTheme="minorEastAsia" w:hAnsiTheme="minorEastAsia" w:eastAsiaTheme="minorEastAsia" w:cstheme="minorEastAsia"/>
          <w:color w:val="auto"/>
          <w:sz w:val="24"/>
          <w:szCs w:val="24"/>
          <w:highlight w:val="none"/>
          <w:lang w:val="en-US" w:eastAsia="zh-CN"/>
        </w:rPr>
        <w:t>：</w:t>
      </w:r>
    </w:p>
    <w:p w14:paraId="4AD312F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2.1供应商应根据采购要求，制定相应的服务方案。</w:t>
      </w:r>
    </w:p>
    <w:p w14:paraId="344DDA3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2.2供应商所监测项目符合我国最新放射工作人员个人剂量监测要求，向我院提交的报告书符合我国最新放射卫生法规标准和当地卫生行政部门的要求，保证技术服务质量。。</w:t>
      </w:r>
    </w:p>
    <w:p w14:paraId="4C5367E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2.3供应商成交后不得将本项目转包，否则采购人有权终止合同并追究成交供应商的违约责任。</w:t>
      </w:r>
    </w:p>
    <w:p w14:paraId="77E1024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2.4本项目不组织统一现场踏勘，供应商可自行对项目现场进行踏勘，以便获取有关编制响应文件和签署合同所涉及现场的资料。供应商应自行承担踏勘现场所发生的所有费用，踏勘项目联系人及联系方式：王老师 0592-6248635。</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1DFBD177">
      <w:pPr>
        <w:pStyle w:val="52"/>
        <w:rPr>
          <w:rFonts w:hint="default"/>
          <w:lang w:val="en-US" w:eastAsia="zh-CN"/>
        </w:rPr>
      </w:pPr>
    </w:p>
    <w:p w14:paraId="51711E68">
      <w:pPr>
        <w:pStyle w:val="70"/>
        <w:numPr>
          <w:ilvl w:val="0"/>
          <w:numId w:val="0"/>
        </w:numPr>
        <w:spacing w:beforeLines="100" w:afterLines="100"/>
        <w:ind w:leftChars="0"/>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rPr>
          <w:rFonts w:hint="default" w:ascii="宋体" w:hAnsi="宋体" w:eastAsia="宋体"/>
          <w:sz w:val="24"/>
          <w:szCs w:val="28"/>
          <w:lang w:val="en-US" w:eastAsia="zh-CN"/>
        </w:rPr>
      </w:pPr>
      <w:r>
        <w:rPr>
          <w:rFonts w:hint="eastAsia" w:ascii="宋体" w:hAnsi="宋体" w:eastAsia="宋体"/>
          <w:b/>
          <w:bCs/>
          <w:sz w:val="24"/>
          <w:szCs w:val="28"/>
          <w:lang w:val="en-US" w:eastAsia="zh-CN"/>
        </w:rPr>
        <w:t>1、服务地点</w:t>
      </w:r>
      <w:r>
        <w:rPr>
          <w:rFonts w:hint="eastAsia" w:ascii="宋体" w:hAnsi="宋体" w:eastAsia="宋体"/>
          <w:sz w:val="24"/>
          <w:szCs w:val="28"/>
          <w:lang w:val="en-US" w:eastAsia="zh-CN"/>
        </w:rPr>
        <w:t>：厦门市杏林医院</w:t>
      </w:r>
    </w:p>
    <w:p w14:paraId="6C173315">
      <w:pPr>
        <w:widowControl/>
        <w:spacing w:line="360" w:lineRule="auto"/>
        <w:ind w:firstLine="482" w:firstLineChars="200"/>
        <w:jc w:val="left"/>
        <w:rPr>
          <w:rFonts w:hint="eastAsia" w:ascii="宋体" w:hAnsi="宋体" w:eastAsia="宋体"/>
          <w:sz w:val="24"/>
          <w:szCs w:val="28"/>
          <w:highlight w:val="none"/>
          <w:lang w:val="en-US" w:eastAsia="zh-CN"/>
        </w:rPr>
      </w:pPr>
      <w:r>
        <w:rPr>
          <w:rFonts w:hint="eastAsia" w:ascii="宋体" w:hAnsi="宋体" w:eastAsia="宋体"/>
          <w:b/>
          <w:bCs/>
          <w:sz w:val="24"/>
          <w:szCs w:val="28"/>
          <w:lang w:val="en-US" w:eastAsia="zh-CN"/>
        </w:rPr>
        <w:t>2</w:t>
      </w:r>
      <w:r>
        <w:rPr>
          <w:rFonts w:hint="eastAsia" w:ascii="宋体" w:hAnsi="宋体" w:eastAsia="宋体"/>
          <w:b/>
          <w:bCs/>
          <w:sz w:val="24"/>
          <w:szCs w:val="28"/>
          <w:highlight w:val="none"/>
          <w:lang w:val="en-US" w:eastAsia="zh-CN"/>
        </w:rPr>
        <w:t>、</w:t>
      </w:r>
      <w:r>
        <w:rPr>
          <w:rFonts w:hint="eastAsia" w:ascii="宋体" w:hAnsi="宋体"/>
          <w:b/>
          <w:bCs/>
          <w:sz w:val="24"/>
          <w:szCs w:val="28"/>
          <w:highlight w:val="none"/>
          <w:lang w:val="en-US" w:eastAsia="zh-CN"/>
        </w:rPr>
        <w:t>服务期限</w:t>
      </w:r>
      <w:r>
        <w:rPr>
          <w:rFonts w:hint="eastAsia" w:ascii="宋体" w:hAnsi="宋体" w:eastAsia="宋体"/>
          <w:sz w:val="24"/>
          <w:szCs w:val="28"/>
          <w:highlight w:val="none"/>
          <w:lang w:val="en-US" w:eastAsia="zh-CN"/>
        </w:rPr>
        <w:t>：</w:t>
      </w:r>
      <w:r>
        <w:rPr>
          <w:rFonts w:hint="eastAsia" w:ascii="宋体" w:hAnsi="宋体"/>
          <w:sz w:val="24"/>
          <w:szCs w:val="28"/>
          <w:highlight w:val="none"/>
          <w:lang w:val="en-US" w:eastAsia="zh-CN"/>
        </w:rPr>
        <w:t>合同签订</w:t>
      </w:r>
      <w:r>
        <w:rPr>
          <w:rFonts w:hint="eastAsia" w:ascii="宋体" w:hAnsi="宋体" w:eastAsia="宋体"/>
          <w:sz w:val="24"/>
          <w:szCs w:val="28"/>
          <w:highlight w:val="none"/>
          <w:lang w:val="en-US" w:eastAsia="zh-CN"/>
        </w:rPr>
        <w:t>之日起</w:t>
      </w:r>
      <w:r>
        <w:rPr>
          <w:rFonts w:hint="eastAsia" w:ascii="宋体" w:hAnsi="宋体"/>
          <w:sz w:val="24"/>
          <w:szCs w:val="28"/>
          <w:highlight w:val="none"/>
          <w:lang w:val="en-US" w:eastAsia="zh-CN"/>
        </w:rPr>
        <w:t>1年</w:t>
      </w:r>
    </w:p>
    <w:p w14:paraId="12F0410A">
      <w:pPr>
        <w:numPr>
          <w:ilvl w:val="0"/>
          <w:numId w:val="0"/>
        </w:numPr>
        <w:tabs>
          <w:tab w:val="left" w:pos="992"/>
        </w:tabs>
        <w:spacing w:line="460" w:lineRule="exact"/>
        <w:ind w:firstLine="482" w:firstLineChars="200"/>
      </w:pPr>
      <w:r>
        <w:rPr>
          <w:rFonts w:hint="eastAsia" w:ascii="宋体" w:hAnsi="宋体" w:eastAsia="宋体"/>
          <w:b/>
          <w:bCs/>
          <w:sz w:val="24"/>
          <w:szCs w:val="28"/>
          <w:highlight w:val="none"/>
          <w:lang w:val="en-US" w:eastAsia="zh-CN"/>
        </w:rPr>
        <w:t>3、</w:t>
      </w:r>
      <w:r>
        <w:rPr>
          <w:rFonts w:hint="eastAsia" w:ascii="宋体" w:hAnsi="宋体"/>
          <w:b/>
          <w:bCs/>
          <w:sz w:val="24"/>
          <w:szCs w:val="28"/>
          <w:highlight w:val="none"/>
          <w:lang w:val="en-US" w:eastAsia="zh-CN"/>
        </w:rPr>
        <w:t>服务时间要求：</w:t>
      </w:r>
      <w:r>
        <w:rPr>
          <w:rFonts w:hint="eastAsia" w:ascii="宋体" w:hAnsi="宋体" w:eastAsia="宋体" w:cs="宋体"/>
          <w:sz w:val="24"/>
          <w:lang w:val="en-US" w:eastAsia="zh-CN"/>
        </w:rPr>
        <w:t>成交供应商须根据医院科室、人员情况及合同约定，合理安排监测进度</w:t>
      </w:r>
      <w:r>
        <w:rPr>
          <w:rFonts w:hint="eastAsia" w:ascii="宋体" w:hAnsi="宋体" w:eastAsia="宋体" w:cs="Times New Roman"/>
          <w:sz w:val="24"/>
          <w:szCs w:val="28"/>
          <w:highlight w:val="none"/>
          <w:lang w:val="en-US" w:eastAsia="zh-CN"/>
        </w:rPr>
        <w:t>。</w:t>
      </w:r>
      <w:r>
        <w:rPr>
          <w:rFonts w:hint="eastAsia" w:ascii="宋体" w:hAnsi="宋体" w:cs="Times New Roman"/>
          <w:sz w:val="24"/>
          <w:szCs w:val="28"/>
          <w:highlight w:val="none"/>
          <w:lang w:val="en-US" w:eastAsia="zh-CN"/>
        </w:rPr>
        <w:t>监测</w:t>
      </w:r>
      <w:r>
        <w:rPr>
          <w:rFonts w:hint="eastAsia" w:ascii="宋体" w:hAnsi="宋体" w:eastAsia="宋体" w:cs="Times New Roman"/>
          <w:sz w:val="24"/>
          <w:szCs w:val="28"/>
          <w:highlight w:val="none"/>
          <w:lang w:val="en-US" w:eastAsia="zh-CN"/>
        </w:rPr>
        <w:t>完成后个1</w:t>
      </w:r>
      <w:r>
        <w:rPr>
          <w:rFonts w:hint="eastAsia" w:ascii="宋体" w:hAnsi="宋体" w:cs="Times New Roman"/>
          <w:sz w:val="24"/>
          <w:szCs w:val="28"/>
          <w:highlight w:val="none"/>
          <w:lang w:val="en-US" w:eastAsia="zh-CN"/>
        </w:rPr>
        <w:t>0</w:t>
      </w:r>
      <w:r>
        <w:rPr>
          <w:rFonts w:hint="eastAsia" w:ascii="宋体" w:hAnsi="宋体" w:eastAsia="宋体" w:cs="Times New Roman"/>
          <w:sz w:val="24"/>
          <w:szCs w:val="28"/>
          <w:highlight w:val="none"/>
          <w:lang w:val="en-US" w:eastAsia="zh-CN"/>
        </w:rPr>
        <w:t>个工作日内，向采购人提交</w:t>
      </w:r>
      <w:r>
        <w:rPr>
          <w:rFonts w:hint="eastAsia" w:ascii="宋体" w:hAnsi="宋体" w:cs="Times New Roman"/>
          <w:sz w:val="24"/>
          <w:szCs w:val="28"/>
          <w:highlight w:val="none"/>
          <w:lang w:val="en-US" w:eastAsia="zh-CN"/>
        </w:rPr>
        <w:t>监测</w:t>
      </w:r>
      <w:r>
        <w:rPr>
          <w:rFonts w:hint="eastAsia" w:ascii="宋体" w:hAnsi="宋体" w:eastAsia="宋体" w:cs="Times New Roman"/>
          <w:sz w:val="24"/>
          <w:szCs w:val="28"/>
          <w:highlight w:val="none"/>
          <w:lang w:val="en-US" w:eastAsia="zh-CN"/>
        </w:rPr>
        <w:t>报告。</w:t>
      </w:r>
    </w:p>
    <w:p w14:paraId="2927B82D">
      <w:pPr>
        <w:numPr>
          <w:ilvl w:val="0"/>
          <w:numId w:val="0"/>
        </w:numPr>
        <w:tabs>
          <w:tab w:val="left" w:pos="992"/>
        </w:tabs>
        <w:spacing w:line="460" w:lineRule="exact"/>
        <w:ind w:firstLine="420" w:firstLineChars="200"/>
        <w:rPr>
          <w:rFonts w:hint="eastAsia"/>
        </w:rPr>
      </w:pPr>
    </w:p>
    <w:p w14:paraId="45FFF1EC">
      <w:pPr>
        <w:numPr>
          <w:ilvl w:val="0"/>
          <w:numId w:val="0"/>
        </w:numPr>
        <w:tabs>
          <w:tab w:val="left" w:pos="992"/>
        </w:tabs>
        <w:spacing w:line="460" w:lineRule="exact"/>
        <w:ind w:firstLine="482" w:firstLineChars="200"/>
        <w:rPr>
          <w:rFonts w:hint="eastAsia" w:ascii="宋体" w:hAnsi="宋体" w:eastAsia="宋体"/>
          <w:b/>
          <w:bCs/>
          <w:sz w:val="24"/>
          <w:szCs w:val="28"/>
          <w:highlight w:val="none"/>
          <w:lang w:val="en-US" w:eastAsia="zh-CN"/>
        </w:rPr>
      </w:pPr>
      <w:r>
        <w:rPr>
          <w:rFonts w:hint="eastAsia" w:ascii="宋体" w:hAnsi="宋体" w:eastAsia="宋体"/>
          <w:b/>
          <w:bCs/>
          <w:sz w:val="24"/>
          <w:szCs w:val="28"/>
          <w:highlight w:val="none"/>
          <w:lang w:val="en-US" w:eastAsia="zh-CN"/>
        </w:rPr>
        <w:t>4、验收方式数据表格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w:t>
            </w:r>
            <w:r>
              <w:rPr>
                <w:rFonts w:hint="eastAsia" w:ascii="宋体" w:hAnsi="宋体" w:cs="宋体"/>
                <w:kern w:val="0"/>
                <w:sz w:val="24"/>
                <w:lang w:eastAsia="zh-CN"/>
              </w:rPr>
              <w:t>监测</w:t>
            </w:r>
            <w:r>
              <w:rPr>
                <w:rFonts w:hint="eastAsia" w:ascii="宋体" w:hAnsi="宋体" w:cs="宋体"/>
                <w:kern w:val="0"/>
                <w:sz w:val="24"/>
              </w:rPr>
              <w:t>报告</w:t>
            </w:r>
            <w:r>
              <w:rPr>
                <w:rFonts w:hint="eastAsia" w:ascii="宋体" w:hAnsi="宋体" w:cs="宋体"/>
                <w:kern w:val="0"/>
                <w:sz w:val="24"/>
                <w:lang w:eastAsia="zh-CN"/>
              </w:rPr>
              <w:t>、</w:t>
            </w:r>
            <w:r>
              <w:rPr>
                <w:rFonts w:hint="eastAsia" w:ascii="宋体" w:hAnsi="宋体" w:cs="宋体"/>
                <w:kern w:val="0"/>
                <w:sz w:val="24"/>
              </w:rPr>
              <w:t>国家有关的标准规定及行业标准等，均为验收依据。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w:t>
            </w:r>
            <w:r>
              <w:rPr>
                <w:rFonts w:hint="eastAsia" w:ascii="宋体" w:hAnsi="宋体"/>
                <w:color w:val="000000"/>
                <w:sz w:val="24"/>
                <w:lang w:eastAsia="zh-CN"/>
              </w:rPr>
              <w:t>及</w:t>
            </w:r>
            <w:r>
              <w:rPr>
                <w:rFonts w:hint="eastAsia" w:ascii="宋体" w:hAnsi="宋体"/>
                <w:color w:val="000000"/>
                <w:sz w:val="24"/>
              </w:rPr>
              <w:t>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5、支付方式</w:t>
      </w:r>
    </w:p>
    <w:p w14:paraId="5BAF1A13">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监测费用按照实际监测数量一年一结，</w:t>
      </w:r>
      <w:r>
        <w:rPr>
          <w:rFonts w:hint="default"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val="en-US" w:eastAsia="zh-CN"/>
        </w:rPr>
        <w:t>收到第四季度报告后</w:t>
      </w:r>
      <w:r>
        <w:rPr>
          <w:rFonts w:hint="default" w:asciiTheme="minorEastAsia" w:hAnsiTheme="minorEastAsia" w:eastAsiaTheme="minorEastAsia" w:cstheme="minorEastAsia"/>
          <w:color w:val="auto"/>
          <w:sz w:val="24"/>
          <w:szCs w:val="24"/>
          <w:highlight w:val="none"/>
          <w:lang w:val="en-US" w:eastAsia="zh-CN"/>
        </w:rPr>
        <w:t>凭监测报告、对应金额的发票等材料，达到付款条件起60个日历日内向成交供应商一次性支付100％的服务款项。</w:t>
      </w:r>
    </w:p>
    <w:p w14:paraId="654369BF">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供应商的报价视为服务经采购人验收合格并交付使用所有可能发生的费用，包括但不限于剂量计提供、运输费、保管、监测、报告出具、税收、售后服务以及可能漏项漏报等的一切费用。采购人无需再向成交供应商支付其他任何费用。交付有效期内，成交的综合单价不得更改，也不能要求采购人对其成交价做出任何形式的补偿。</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6.4供应商对本项目只能有一个报价，采购单位不接受有选择的报价。</w:t>
      </w:r>
    </w:p>
    <w:p w14:paraId="6A06ADE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7、售后服务</w:t>
      </w:r>
    </w:p>
    <w:p w14:paraId="147015F3">
      <w:pPr>
        <w:numPr>
          <w:ilvl w:val="0"/>
          <w:numId w:val="0"/>
        </w:numPr>
        <w:tabs>
          <w:tab w:val="left" w:pos="992"/>
        </w:tabs>
        <w:spacing w:line="460" w:lineRule="exact"/>
        <w:ind w:firstLine="480" w:firstLineChars="200"/>
        <w:rPr>
          <w:rFonts w:hint="default"/>
          <w:lang w:val="en-US" w:eastAsia="zh-CN"/>
        </w:rPr>
      </w:pPr>
      <w:r>
        <w:rPr>
          <w:rFonts w:hint="eastAsia" w:asciiTheme="minorEastAsia" w:hAnsiTheme="minorEastAsia" w:eastAsiaTheme="minorEastAsia" w:cstheme="minorEastAsia"/>
          <w:color w:val="auto"/>
          <w:sz w:val="24"/>
          <w:szCs w:val="24"/>
          <w:highlight w:val="none"/>
          <w:lang w:val="en-US" w:eastAsia="zh-CN"/>
        </w:rPr>
        <w:t>7.1</w:t>
      </w:r>
      <w:r>
        <w:rPr>
          <w:rFonts w:hint="eastAsia" w:ascii="宋体" w:hAnsi="宋体" w:cs="Arial"/>
          <w:sz w:val="24"/>
        </w:rPr>
        <w:t>响应供应商应按照本采购项目特点提供长期良好的售后服务，并在响应文件中提供详细具体的售后服务承诺条款及保证。售后服务要求提供售后服务方案，方案至少包含</w:t>
      </w:r>
      <w:r>
        <w:rPr>
          <w:rFonts w:hint="eastAsia" w:ascii="宋体" w:hAnsi="宋体" w:cs="宋体"/>
          <w:sz w:val="24"/>
        </w:rPr>
        <w:t>售后服务内容、问题处理、售后服务流程等</w:t>
      </w:r>
      <w:r>
        <w:rPr>
          <w:rFonts w:hint="eastAsia" w:ascii="宋体" w:hAnsi="宋体" w:cs="Arial"/>
          <w:sz w:val="24"/>
        </w:rPr>
        <w:t>。</w:t>
      </w:r>
    </w:p>
    <w:p w14:paraId="7845973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w:t>
      </w:r>
      <w:r>
        <w:rPr>
          <w:rFonts w:hint="eastAsia" w:ascii="宋体" w:hAnsi="宋体"/>
          <w:sz w:val="24"/>
        </w:rPr>
        <w:t>供应商必须拥有专业的售后维护服务团队，能够保证本项目的正常运行。</w:t>
      </w:r>
    </w:p>
    <w:p w14:paraId="1E4FB755">
      <w:pPr>
        <w:numPr>
          <w:ilvl w:val="0"/>
          <w:numId w:val="0"/>
        </w:numPr>
        <w:tabs>
          <w:tab w:val="left" w:pos="992"/>
        </w:tabs>
        <w:spacing w:line="460" w:lineRule="exact"/>
        <w:ind w:firstLine="480" w:firstLineChars="200"/>
        <w:rPr>
          <w:rFonts w:hint="eastAsia"/>
          <w:lang w:val="en-US" w:eastAsia="zh-CN"/>
        </w:rPr>
      </w:pPr>
      <w:r>
        <w:rPr>
          <w:rFonts w:hint="eastAsia" w:asciiTheme="minorEastAsia" w:hAnsiTheme="minorEastAsia" w:eastAsiaTheme="minorEastAsia" w:cstheme="minorEastAsia"/>
          <w:color w:val="auto"/>
          <w:sz w:val="24"/>
          <w:szCs w:val="24"/>
          <w:highlight w:val="none"/>
          <w:lang w:val="en-US" w:eastAsia="zh-CN"/>
        </w:rPr>
        <w:t>7.3供应商认为有利于采购人的其他优惠条款应单独列明。</w:t>
      </w:r>
    </w:p>
    <w:p w14:paraId="55B54A0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8、违约责任</w:t>
      </w:r>
    </w:p>
    <w:p w14:paraId="7D6FF4B5">
      <w:pPr>
        <w:numPr>
          <w:ilvl w:val="0"/>
          <w:numId w:val="0"/>
        </w:numPr>
        <w:tabs>
          <w:tab w:val="left" w:pos="992"/>
        </w:tabs>
        <w:spacing w:line="460" w:lineRule="exact"/>
        <w:ind w:firstLine="480" w:firstLineChars="200"/>
      </w:pPr>
      <w:r>
        <w:rPr>
          <w:rFonts w:hint="eastAsia" w:asciiTheme="minorEastAsia" w:hAnsiTheme="minorEastAsia" w:eastAsiaTheme="minorEastAsia" w:cstheme="minorEastAsia"/>
          <w:color w:val="auto"/>
          <w:sz w:val="24"/>
          <w:szCs w:val="24"/>
          <w:highlight w:val="none"/>
          <w:lang w:val="en-US" w:eastAsia="zh-CN"/>
        </w:rPr>
        <w:t>8.1成交供应商</w:t>
      </w:r>
      <w:r>
        <w:rPr>
          <w:rFonts w:hint="eastAsia" w:ascii="宋体" w:hAnsi="宋体" w:eastAsia="宋体" w:cs="Times New Roman"/>
          <w:sz w:val="24"/>
          <w:lang w:val="en-US" w:eastAsia="zh-CN"/>
        </w:rPr>
        <w:t>延迟交付报告，应当按日向采购人支付违约金，每日支付技术服务费总额的1%</w:t>
      </w:r>
      <w:r>
        <w:rPr>
          <w:rFonts w:hint="eastAsia" w:asciiTheme="minorEastAsia" w:hAnsiTheme="minorEastAsia" w:eastAsiaTheme="minorEastAsia" w:cstheme="minorEastAsia"/>
          <w:color w:val="auto"/>
          <w:sz w:val="24"/>
          <w:szCs w:val="24"/>
          <w:highlight w:val="none"/>
          <w:lang w:val="en-US" w:eastAsia="zh-CN"/>
        </w:rPr>
        <w:t>。</w:t>
      </w:r>
    </w:p>
    <w:p w14:paraId="483785A6">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8.2</w:t>
      </w:r>
      <w:r>
        <w:rPr>
          <w:rFonts w:hint="eastAsia" w:asciiTheme="minorEastAsia" w:hAnsiTheme="minorEastAsia" w:eastAsiaTheme="minorEastAsia" w:cstheme="minorEastAsia"/>
          <w:color w:val="auto"/>
          <w:sz w:val="24"/>
          <w:szCs w:val="24"/>
          <w:highlight w:val="none"/>
          <w:lang w:val="en-US" w:eastAsia="zh-CN"/>
        </w:rPr>
        <w:t>监测结果出现异常，由于成交供应商未及时反馈，导致采购人受到损失时，成交供应商须赔偿采购人因此产生的全部直接损失与间接损失，并按合同总金额的20% 向采购人支付违约金。</w:t>
      </w:r>
    </w:p>
    <w:p w14:paraId="57105C9A">
      <w:pPr>
        <w:numPr>
          <w:ilvl w:val="0"/>
          <w:numId w:val="0"/>
        </w:numPr>
        <w:tabs>
          <w:tab w:val="left" w:pos="992"/>
        </w:tabs>
        <w:spacing w:line="460" w:lineRule="exac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上述内容，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3、当事人一方因不可抗力的原因不能履行的，应及时通知对方，以减轻可能给对方造成的损失，并应当在合理期限内提供证明。</w:t>
      </w:r>
    </w:p>
    <w:p w14:paraId="0AC4D45B">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bookmarkEnd w:id="0"/>
    <w:bookmarkEnd w:id="1"/>
    <w:p w14:paraId="6990CD78">
      <w:pPr>
        <w:rPr>
          <w:rFonts w:ascii="宋体" w:hAnsi="宋体"/>
          <w:b/>
          <w:color w:val="000000"/>
          <w:sz w:val="24"/>
        </w:rPr>
      </w:pPr>
    </w:p>
    <w:p w14:paraId="06AD5BF5"/>
    <w:p w14:paraId="513A0947">
      <w:pPr>
        <w:pStyle w:val="2"/>
        <w:spacing w:before="240" w:after="240"/>
        <w:rPr>
          <w:rFonts w:ascii="宋体" w:hAnsi="宋体"/>
          <w:sz w:val="24"/>
        </w:rPr>
      </w:pPr>
      <w:bookmarkStart w:id="6" w:name="_Toc926974834"/>
      <w:r>
        <w:t>第</w:t>
      </w:r>
      <w:r>
        <w:rPr>
          <w:rFonts w:hint="eastAsia"/>
          <w:lang w:eastAsia="zh-CN"/>
        </w:rPr>
        <w:t>五</w:t>
      </w:r>
      <w:r>
        <w:t>章</w:t>
      </w:r>
      <w:r>
        <w:rPr>
          <w:rFonts w:hint="eastAsia"/>
        </w:rPr>
        <w:t xml:space="preserve">  响应</w:t>
      </w:r>
      <w:r>
        <w:t>文件格式</w:t>
      </w:r>
      <w:bookmarkEnd w:id="6"/>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067C2312">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6FC9FCE2">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2B2FBD19">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活动，并提交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文件规定执行，并在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6167BD1A">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ascii="宋体" w:hAnsi="宋体" w:cs="宋体"/>
          <w:kern w:val="0"/>
          <w:sz w:val="24"/>
        </w:rPr>
        <w:t> </w:t>
      </w:r>
    </w:p>
    <w:p w14:paraId="5F89D2F2">
      <w:pPr>
        <w:spacing w:before="50" w:after="50" w:line="360" w:lineRule="auto"/>
        <w:jc w:val="left"/>
        <w:rPr>
          <w:rFonts w:ascii="宋体" w:hAnsi="宋体" w:cs="宋体"/>
          <w:kern w:val="0"/>
          <w:sz w:val="24"/>
        </w:rPr>
      </w:pPr>
      <w:r>
        <w:rPr>
          <w:rFonts w:ascii="宋体" w:hAnsi="宋体" w:cs="宋体"/>
          <w:kern w:val="0"/>
          <w:sz w:val="24"/>
        </w:rPr>
        <w:t>货币单位：人民币</w:t>
      </w:r>
    </w:p>
    <w:tbl>
      <w:tblPr>
        <w:tblStyle w:val="42"/>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934"/>
        <w:gridCol w:w="2001"/>
        <w:gridCol w:w="3102"/>
        <w:gridCol w:w="1338"/>
      </w:tblGrid>
      <w:tr w14:paraId="6B03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序号</w:t>
            </w:r>
          </w:p>
        </w:tc>
        <w:tc>
          <w:tcPr>
            <w:tcW w:w="1934" w:type="dxa"/>
            <w:tcBorders>
              <w:top w:val="single" w:color="000000" w:sz="8" w:space="0"/>
              <w:left w:val="nil"/>
              <w:bottom w:val="single" w:color="000000" w:sz="8" w:space="0"/>
              <w:right w:val="single" w:color="000000" w:sz="8" w:space="0"/>
            </w:tcBorders>
            <w:shd w:val="clear" w:color="auto" w:fill="auto"/>
            <w:vAlign w:val="center"/>
          </w:tcPr>
          <w:p w14:paraId="7C7DE067">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项目名称</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51E8CEE0">
            <w:pPr>
              <w:snapToGrid w:val="0"/>
              <w:spacing w:line="240" w:lineRule="auto"/>
              <w:ind w:left="0" w:leftChars="0" w:right="0" w:rightChars="0" w:firstLine="0" w:firstLineChars="0"/>
              <w:jc w:val="center"/>
              <w:rPr>
                <w:rFonts w:hint="default" w:ascii="宋体" w:hAnsi="宋体" w:eastAsia="宋体" w:cs="宋体"/>
                <w:b/>
                <w:sz w:val="24"/>
                <w:lang w:val="en-US"/>
              </w:rPr>
            </w:pPr>
            <w:r>
              <w:rPr>
                <w:rFonts w:hint="eastAsia" w:ascii="宋体" w:hAnsi="宋体" w:cs="宋体"/>
                <w:b/>
                <w:sz w:val="24"/>
                <w:lang w:val="en-US" w:eastAsia="zh-CN"/>
              </w:rPr>
              <w:t>佩戴人数（人）</w:t>
            </w:r>
          </w:p>
        </w:tc>
        <w:tc>
          <w:tcPr>
            <w:tcW w:w="3102" w:type="dxa"/>
            <w:tcBorders>
              <w:top w:val="single" w:color="000000" w:sz="8" w:space="0"/>
              <w:left w:val="nil"/>
              <w:bottom w:val="single" w:color="000000" w:sz="8" w:space="0"/>
              <w:right w:val="single" w:color="000000" w:sz="8" w:space="0"/>
            </w:tcBorders>
            <w:shd w:val="clear" w:color="auto" w:fill="auto"/>
            <w:vAlign w:val="center"/>
          </w:tcPr>
          <w:p w14:paraId="62B5BD1E">
            <w:pPr>
              <w:snapToGrid w:val="0"/>
              <w:spacing w:line="240" w:lineRule="auto"/>
              <w:ind w:left="0" w:leftChars="0" w:right="0" w:rightChars="0" w:firstLine="0" w:firstLineChars="0"/>
              <w:jc w:val="center"/>
              <w:rPr>
                <w:rFonts w:hint="default" w:ascii="宋体" w:hAnsi="宋体" w:eastAsia="宋体" w:cs="宋体"/>
                <w:b/>
                <w:sz w:val="24"/>
                <w:lang w:val="en-US"/>
              </w:rPr>
            </w:pPr>
          </w:p>
          <w:p w14:paraId="2A4F143E">
            <w:pPr>
              <w:snapToGrid w:val="0"/>
              <w:spacing w:line="240" w:lineRule="auto"/>
              <w:ind w:left="0" w:leftChars="0" w:right="0" w:rightChars="0" w:firstLine="0" w:firstLineChars="0"/>
              <w:jc w:val="center"/>
              <w:rPr>
                <w:rFonts w:hint="eastAsia" w:ascii="宋体" w:hAnsi="宋体" w:cs="宋体"/>
                <w:b/>
                <w:sz w:val="24"/>
                <w:lang w:val="en-US" w:eastAsia="zh-CN"/>
              </w:rPr>
            </w:pPr>
            <w:r>
              <w:rPr>
                <w:rFonts w:hint="eastAsia" w:ascii="宋体" w:hAnsi="宋体" w:cs="宋体"/>
                <w:b/>
                <w:sz w:val="24"/>
                <w:lang w:val="en-US" w:eastAsia="zh-CN"/>
              </w:rPr>
              <w:t>总量片</w:t>
            </w:r>
          </w:p>
          <w:p w14:paraId="2A111060">
            <w:pPr>
              <w:snapToGrid w:val="0"/>
              <w:spacing w:line="240" w:lineRule="auto"/>
              <w:ind w:left="0" w:leftChars="0" w:right="0" w:rightChars="0" w:firstLine="0" w:firstLineChars="0"/>
              <w:jc w:val="center"/>
              <w:rPr>
                <w:rFonts w:hint="default" w:ascii="宋体" w:hAnsi="宋体" w:cs="宋体"/>
                <w:b/>
                <w:sz w:val="24"/>
                <w:lang w:val="en-US" w:eastAsia="zh-CN"/>
              </w:rPr>
            </w:pPr>
            <w:r>
              <w:rPr>
                <w:rFonts w:hint="eastAsia" w:ascii="宋体" w:hAnsi="宋体" w:cs="宋体"/>
                <w:b/>
                <w:sz w:val="24"/>
                <w:lang w:val="en-US" w:eastAsia="zh-CN"/>
              </w:rPr>
              <w:t>（片）</w:t>
            </w:r>
          </w:p>
        </w:tc>
        <w:tc>
          <w:tcPr>
            <w:tcW w:w="1338" w:type="dxa"/>
            <w:tcBorders>
              <w:top w:val="single" w:color="000000" w:sz="8" w:space="0"/>
              <w:left w:val="nil"/>
              <w:bottom w:val="single" w:color="000000" w:sz="8" w:space="0"/>
              <w:right w:val="single" w:color="000000" w:sz="8" w:space="0"/>
            </w:tcBorders>
            <w:shd w:val="clear" w:color="auto" w:fill="auto"/>
            <w:vAlign w:val="center"/>
          </w:tcPr>
          <w:p w14:paraId="1246759D">
            <w:pPr>
              <w:snapToGrid w:val="0"/>
              <w:spacing w:line="240" w:lineRule="auto"/>
              <w:ind w:left="0" w:leftChars="0" w:right="0" w:rightChars="0" w:firstLine="0" w:firstLineChars="0"/>
              <w:jc w:val="center"/>
              <w:rPr>
                <w:rFonts w:hint="eastAsia" w:ascii="宋体" w:hAnsi="宋体" w:cs="宋体"/>
                <w:b/>
                <w:sz w:val="24"/>
                <w:lang w:val="en-US" w:eastAsia="zh-CN"/>
              </w:rPr>
            </w:pPr>
            <w:r>
              <w:rPr>
                <w:rFonts w:hint="eastAsia" w:ascii="宋体" w:hAnsi="宋体" w:cs="宋体"/>
                <w:b/>
                <w:sz w:val="24"/>
                <w:lang w:val="en-US" w:eastAsia="zh-CN"/>
              </w:rPr>
              <w:t>单</w:t>
            </w:r>
          </w:p>
          <w:p w14:paraId="58668063">
            <w:pPr>
              <w:snapToGrid w:val="0"/>
              <w:spacing w:line="240" w:lineRule="auto"/>
              <w:ind w:left="0" w:leftChars="0" w:right="0" w:rightChars="0" w:firstLine="0" w:firstLineChars="0"/>
              <w:jc w:val="center"/>
              <w:rPr>
                <w:rFonts w:hint="eastAsia" w:ascii="宋体" w:hAnsi="宋体" w:cs="宋体"/>
                <w:b/>
                <w:sz w:val="24"/>
                <w:lang w:eastAsia="zh-CN"/>
              </w:rPr>
            </w:pPr>
            <w:r>
              <w:rPr>
                <w:rFonts w:hint="eastAsia" w:ascii="宋体" w:hAnsi="宋体" w:cs="宋体"/>
                <w:b/>
                <w:sz w:val="24"/>
                <w:lang w:eastAsia="zh-CN"/>
              </w:rPr>
              <w:t>（元）</w:t>
            </w:r>
          </w:p>
          <w:p w14:paraId="67F4CD0B">
            <w:pPr>
              <w:snapToGrid w:val="0"/>
              <w:spacing w:line="240" w:lineRule="auto"/>
              <w:ind w:left="0" w:leftChars="0" w:right="0" w:rightChars="0" w:firstLine="0" w:firstLineChars="0"/>
              <w:jc w:val="center"/>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/年</w:t>
            </w:r>
            <w:r>
              <w:rPr>
                <w:rFonts w:hint="eastAsia" w:ascii="宋体" w:hAnsi="宋体" w:cs="宋体"/>
                <w:b/>
                <w:sz w:val="24"/>
                <w:lang w:eastAsia="zh-CN"/>
              </w:rPr>
              <w:t>）</w:t>
            </w:r>
          </w:p>
        </w:tc>
      </w:tr>
      <w:tr w14:paraId="1D09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1" w:type="dxa"/>
            <w:tcBorders>
              <w:top w:val="nil"/>
              <w:left w:val="single" w:color="000000" w:sz="8" w:space="0"/>
              <w:bottom w:val="single" w:color="000000" w:sz="8" w:space="0"/>
              <w:right w:val="single" w:color="000000" w:sz="8" w:space="0"/>
            </w:tcBorders>
            <w:shd w:val="clear" w:color="auto" w:fill="auto"/>
            <w:vAlign w:val="center"/>
          </w:tcPr>
          <w:p w14:paraId="578E6467">
            <w:pPr>
              <w:snapToGrid w:val="0"/>
              <w:spacing w:line="240" w:lineRule="auto"/>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lang w:val="en-US" w:eastAsia="zh-CN"/>
              </w:rPr>
              <w:t>1</w:t>
            </w:r>
          </w:p>
        </w:tc>
        <w:tc>
          <w:tcPr>
            <w:tcW w:w="1934" w:type="dxa"/>
            <w:tcBorders>
              <w:top w:val="nil"/>
              <w:left w:val="nil"/>
              <w:bottom w:val="single" w:color="000000" w:sz="8" w:space="0"/>
              <w:right w:val="single" w:color="000000" w:sz="8" w:space="0"/>
            </w:tcBorders>
            <w:shd w:val="clear" w:color="auto" w:fill="auto"/>
            <w:vAlign w:val="center"/>
          </w:tcPr>
          <w:p w14:paraId="073C8A0E">
            <w:pPr>
              <w:snapToGrid w:val="0"/>
              <w:spacing w:line="240" w:lineRule="auto"/>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rPr>
              <w:t>个人剂量计监测服务</w:t>
            </w:r>
          </w:p>
        </w:tc>
        <w:tc>
          <w:tcPr>
            <w:tcW w:w="2001" w:type="dxa"/>
            <w:tcBorders>
              <w:top w:val="nil"/>
              <w:left w:val="nil"/>
              <w:bottom w:val="single" w:color="000000" w:sz="8" w:space="0"/>
              <w:right w:val="single" w:color="000000" w:sz="8" w:space="0"/>
            </w:tcBorders>
            <w:shd w:val="clear" w:color="auto" w:fill="auto"/>
            <w:vAlign w:val="center"/>
          </w:tcPr>
          <w:p w14:paraId="3C9CD64C">
            <w:pPr>
              <w:snapToGrid w:val="0"/>
              <w:spacing w:line="240" w:lineRule="auto"/>
              <w:ind w:left="0" w:leftChars="0" w:right="0" w:rightChars="0" w:firstLine="0" w:firstLineChars="0"/>
              <w:jc w:val="center"/>
              <w:rPr>
                <w:rFonts w:hint="default" w:ascii="宋体" w:hAnsi="宋体" w:eastAsia="宋体" w:cs="宋体"/>
                <w:sz w:val="24"/>
                <w:lang w:val="en-US"/>
              </w:rPr>
            </w:pPr>
            <w:r>
              <w:rPr>
                <w:rFonts w:hint="eastAsia" w:ascii="宋体" w:hAnsi="宋体" w:cs="宋体"/>
                <w:sz w:val="24"/>
                <w:lang w:val="en-US" w:eastAsia="zh-CN"/>
              </w:rPr>
              <w:t>按实际监测人数</w:t>
            </w:r>
          </w:p>
        </w:tc>
        <w:tc>
          <w:tcPr>
            <w:tcW w:w="31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D05CC">
            <w:pPr>
              <w:snapToGrid w:val="0"/>
              <w:spacing w:line="240" w:lineRule="auto"/>
              <w:ind w:left="0" w:leftChars="0" w:right="0" w:rightChars="0" w:firstLine="0" w:firstLineChars="0"/>
              <w:jc w:val="center"/>
              <w:rPr>
                <w:rFonts w:hint="default" w:ascii="宋体" w:hAnsi="宋体" w:eastAsia="宋体" w:cs="宋体"/>
                <w:sz w:val="24"/>
                <w:lang w:val="en-US" w:eastAsia="zh-CN"/>
              </w:rPr>
            </w:pPr>
            <w:r>
              <w:rPr>
                <w:rFonts w:hint="eastAsia" w:ascii="宋体" w:hAnsi="宋体" w:cs="宋体"/>
                <w:sz w:val="24"/>
                <w:lang w:val="en-US" w:eastAsia="zh-CN"/>
              </w:rPr>
              <w:t>按实际监测片数计算（不含对照片）</w:t>
            </w:r>
          </w:p>
        </w:tc>
        <w:tc>
          <w:tcPr>
            <w:tcW w:w="13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D9F97">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bl>
    <w:p w14:paraId="0B776C60">
      <w:pPr>
        <w:spacing w:before="50" w:after="50" w:line="360" w:lineRule="auto"/>
        <w:jc w:val="left"/>
        <w:rPr>
          <w:rFonts w:hint="eastAsia" w:ascii="宋体" w:hAnsi="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24"/>
          <w:lang w:val="en-US" w:eastAsia="zh-CN"/>
        </w:rPr>
        <w:t>1.采购人</w:t>
      </w:r>
      <w:r>
        <w:rPr>
          <w:rFonts w:hint="eastAsia" w:ascii="宋体" w:hAnsi="宋体" w:cs="宋体"/>
          <w:kern w:val="0"/>
          <w:sz w:val="24"/>
          <w:lang w:eastAsia="zh-CN"/>
        </w:rPr>
        <w:t>按此价格接受即视为报价生效。</w:t>
      </w:r>
    </w:p>
    <w:p w14:paraId="0C79C34E">
      <w:pPr>
        <w:widowControl/>
        <w:spacing w:before="50" w:after="50" w:line="360" w:lineRule="auto"/>
        <w:jc w:val="left"/>
        <w:rPr>
          <w:rFonts w:cs="宋体" w:asciiTheme="minorEastAsia" w:hAnsiTheme="minorEastAsia" w:eastAsiaTheme="minorEastAsia"/>
          <w:kern w:val="0"/>
          <w:sz w:val="24"/>
        </w:rPr>
      </w:pPr>
      <w:r>
        <w:rPr>
          <w:rFonts w:hint="eastAsia" w:ascii="宋体" w:hAnsi="宋体" w:cs="宋体"/>
          <w:kern w:val="0"/>
          <w:sz w:val="24"/>
          <w:lang w:val="en-US" w:eastAsia="zh-CN"/>
        </w:rPr>
        <w:t>2.</w:t>
      </w: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后</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我司</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lang w:eastAsia="zh-CN"/>
        </w:rPr>
        <w:t>全部要求</w:t>
      </w:r>
      <w:r>
        <w:rPr>
          <w:rFonts w:cs="宋体" w:asciiTheme="minorEastAsia" w:hAnsiTheme="minorEastAsia" w:eastAsiaTheme="minorEastAsia"/>
          <w:kern w:val="0"/>
          <w:sz w:val="24"/>
        </w:rPr>
        <w:t>履行责任和义务。</w:t>
      </w:r>
    </w:p>
    <w:p w14:paraId="7958B2F1">
      <w:pPr>
        <w:widowControl/>
        <w:spacing w:before="50" w:after="50" w:line="360" w:lineRule="auto"/>
        <w:jc w:val="left"/>
        <w:rPr>
          <w:rFonts w:cs="宋体" w:asciiTheme="minorEastAsia" w:hAnsiTheme="minorEastAsia" w:eastAsiaTheme="minorEastAsia"/>
          <w:kern w:val="0"/>
          <w:sz w:val="24"/>
        </w:rPr>
      </w:pPr>
    </w:p>
    <w:p w14:paraId="44CC8D20">
      <w:pPr>
        <w:widowControl/>
        <w:spacing w:before="50" w:after="50" w:line="360" w:lineRule="auto"/>
        <w:jc w:val="left"/>
        <w:rPr>
          <w:rFonts w:cs="宋体" w:asciiTheme="minorEastAsia" w:hAnsiTheme="minorEastAsia" w:eastAsiaTheme="minorEastAsia"/>
          <w:kern w:val="0"/>
          <w:sz w:val="24"/>
        </w:rPr>
      </w:pPr>
    </w:p>
    <w:p w14:paraId="1CA419AC">
      <w:pPr>
        <w:widowControl/>
        <w:spacing w:before="50" w:after="50" w:line="360" w:lineRule="auto"/>
        <w:jc w:val="left"/>
        <w:rPr>
          <w:rFonts w:cs="宋体" w:asciiTheme="minorEastAsia" w:hAnsiTheme="minorEastAsia" w:eastAsiaTheme="minorEastAsia"/>
          <w:kern w:val="0"/>
          <w:sz w:val="24"/>
        </w:rPr>
      </w:pPr>
    </w:p>
    <w:p w14:paraId="71DF9540">
      <w:pPr>
        <w:widowControl/>
        <w:spacing w:before="50" w:after="50" w:line="360" w:lineRule="auto"/>
        <w:jc w:val="left"/>
        <w:rPr>
          <w:rFonts w:cs="宋体" w:asciiTheme="minorEastAsia" w:hAnsiTheme="minorEastAsia" w:eastAsiaTheme="minorEastAsia"/>
          <w:kern w:val="0"/>
          <w:sz w:val="24"/>
        </w:rPr>
      </w:pPr>
    </w:p>
    <w:p w14:paraId="65ED0191">
      <w:pPr>
        <w:widowControl/>
        <w:spacing w:before="50" w:after="50" w:line="360" w:lineRule="auto"/>
        <w:jc w:val="left"/>
        <w:rPr>
          <w:rFonts w:cs="宋体" w:asciiTheme="minorEastAsia" w:hAnsiTheme="minorEastAsia" w:eastAsiaTheme="minorEastAsia"/>
          <w:kern w:val="0"/>
          <w:sz w:val="24"/>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36452048">
      <w:pPr>
        <w:widowControl/>
        <w:spacing w:line="360" w:lineRule="auto"/>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20060A52">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、澄清、签约等。供应商代表在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0ACA50BE">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1F71C982">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w:t>
      </w:r>
      <w:r>
        <w:rPr>
          <w:rFonts w:hint="eastAsia" w:ascii="宋体" w:hAnsi="宋体"/>
          <w:sz w:val="24"/>
          <w:lang w:eastAsia="zh-CN"/>
        </w:rPr>
        <w:t>服务</w:t>
      </w:r>
      <w:r>
        <w:rPr>
          <w:rFonts w:hint="eastAsia" w:ascii="宋体" w:hAnsi="宋体"/>
          <w:sz w:val="24"/>
        </w:rPr>
        <w:t>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w:t>
      </w:r>
      <w:r>
        <w:rPr>
          <w:rFonts w:hint="eastAsia" w:ascii="宋体" w:hAnsi="宋体"/>
          <w:sz w:val="24"/>
          <w:lang w:eastAsia="zh-CN"/>
        </w:rPr>
        <w:t>监测</w:t>
      </w:r>
      <w:r>
        <w:rPr>
          <w:rFonts w:hint="eastAsia" w:ascii="宋体" w:hAnsi="宋体"/>
          <w:sz w:val="24"/>
        </w:rPr>
        <w:t>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13FF9DEF">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71454C4D">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cs="宋体" w:asciiTheme="minorEastAsia" w:hAnsiTheme="minorEastAsia" w:eastAsiaTheme="minorEastAsia"/>
          <w:kern w:val="0"/>
          <w:sz w:val="24"/>
          <w:lang w:eastAsia="zh-CN"/>
        </w:rPr>
        <w:t>询价</w:t>
      </w:r>
      <w:r>
        <w:rPr>
          <w:rFonts w:hint="eastAsia" w:ascii="宋体" w:hAnsi="宋体"/>
          <w:color w:val="000000"/>
          <w:sz w:val="24"/>
        </w:rPr>
        <w:t>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黑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7"/>
      <w:framePr w:wrap="around" w:vAnchor="text" w:hAnchor="margin" w:xAlign="right" w:y="1"/>
      <w:rPr>
        <w:rStyle w:val="46"/>
      </w:rPr>
    </w:pPr>
    <w:r>
      <w:fldChar w:fldCharType="begin"/>
    </w:r>
    <w:r>
      <w:rPr>
        <w:rStyle w:val="46"/>
      </w:rPr>
      <w:instrText xml:space="preserve">PAGE  </w:instrText>
    </w:r>
    <w:r>
      <w:fldChar w:fldCharType="end"/>
    </w:r>
  </w:p>
  <w:p w14:paraId="4FE26F0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C398A"/>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1F95025"/>
    <w:rsid w:val="153E470C"/>
    <w:rsid w:val="16625582"/>
    <w:rsid w:val="196134F8"/>
    <w:rsid w:val="1CE819CC"/>
    <w:rsid w:val="1FE791CA"/>
    <w:rsid w:val="233A128C"/>
    <w:rsid w:val="264458DF"/>
    <w:rsid w:val="2A071641"/>
    <w:rsid w:val="2B9E56B5"/>
    <w:rsid w:val="2D657CB0"/>
    <w:rsid w:val="2FB330EF"/>
    <w:rsid w:val="3190024E"/>
    <w:rsid w:val="35D24B6F"/>
    <w:rsid w:val="39592B25"/>
    <w:rsid w:val="3F5BC0E9"/>
    <w:rsid w:val="3FDE40E0"/>
    <w:rsid w:val="3FFBD0A2"/>
    <w:rsid w:val="4BFC308A"/>
    <w:rsid w:val="4F5166AD"/>
    <w:rsid w:val="5A3A2B60"/>
    <w:rsid w:val="5BF55E28"/>
    <w:rsid w:val="625F3DEE"/>
    <w:rsid w:val="63BF57D7"/>
    <w:rsid w:val="66E616AF"/>
    <w:rsid w:val="68227A13"/>
    <w:rsid w:val="6BED7C57"/>
    <w:rsid w:val="737BBAE7"/>
    <w:rsid w:val="7AD52BAB"/>
    <w:rsid w:val="7AFBA54D"/>
    <w:rsid w:val="7E7FA0C8"/>
    <w:rsid w:val="7EDFE946"/>
    <w:rsid w:val="7EFF21AD"/>
    <w:rsid w:val="7F6F6352"/>
    <w:rsid w:val="7F72641A"/>
    <w:rsid w:val="7F771EDB"/>
    <w:rsid w:val="9FFAD24A"/>
    <w:rsid w:val="BDFFB87F"/>
    <w:rsid w:val="D3E7BB79"/>
    <w:rsid w:val="DAFF4C54"/>
    <w:rsid w:val="DF1F2217"/>
    <w:rsid w:val="DFFEC350"/>
    <w:rsid w:val="E77C4C75"/>
    <w:rsid w:val="EB9B510C"/>
    <w:rsid w:val="ED1DACF1"/>
    <w:rsid w:val="EEF6A08E"/>
    <w:rsid w:val="EFFDBDFE"/>
    <w:rsid w:val="F57EFF5B"/>
    <w:rsid w:val="F5DE9B86"/>
    <w:rsid w:val="F69FA830"/>
    <w:rsid w:val="F887DEFC"/>
    <w:rsid w:val="FBEF5036"/>
    <w:rsid w:val="FDFC90E2"/>
    <w:rsid w:val="FE5F2BCE"/>
    <w:rsid w:val="FE7F14DE"/>
    <w:rsid w:val="FEBFA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6"/>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3"/>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4"/>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9"/>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qFormat/>
    <w:uiPriority w:val="0"/>
    <w:rPr>
      <w:color w:val="FF0000"/>
    </w:rPr>
  </w:style>
  <w:style w:type="paragraph" w:styleId="17">
    <w:name w:val="Body Text Indent"/>
    <w:basedOn w:val="1"/>
    <w:next w:val="18"/>
    <w:qFormat/>
    <w:uiPriority w:val="0"/>
    <w:pPr>
      <w:ind w:left="-4" w:leftChars="-2" w:firstLine="560" w:firstLineChars="200"/>
    </w:pPr>
    <w:rPr>
      <w:rFonts w:ascii="宋体"/>
      <w:sz w:val="28"/>
    </w:rPr>
  </w:style>
  <w:style w:type="paragraph" w:styleId="18">
    <w:name w:val="envelope return"/>
    <w:basedOn w:val="1"/>
    <w:qFormat/>
    <w:uiPriority w:val="0"/>
    <w:pPr>
      <w:snapToGrid w:val="0"/>
    </w:pPr>
    <w:rPr>
      <w:rFonts w:ascii="Arial" w:hAnsi="Arial"/>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spacing w:line="360" w:lineRule="auto"/>
      <w:ind w:left="420"/>
      <w:jc w:val="left"/>
    </w:pPr>
    <w:rPr>
      <w:iCs/>
      <w:sz w:val="24"/>
      <w:szCs w:val="20"/>
    </w:rPr>
  </w:style>
  <w:style w:type="paragraph" w:styleId="21">
    <w:name w:val="Plain Text"/>
    <w:basedOn w:val="1"/>
    <w:link w:val="58"/>
    <w:qFormat/>
    <w:uiPriority w:val="0"/>
    <w:rPr>
      <w:rFonts w:ascii="宋体" w:hAnsi="Courier New" w:cs="Courier New"/>
      <w:szCs w:val="21"/>
    </w:rPr>
  </w:style>
  <w:style w:type="paragraph" w:styleId="22">
    <w:name w:val="toc 8"/>
    <w:basedOn w:val="1"/>
    <w:next w:val="1"/>
    <w:qFormat/>
    <w:uiPriority w:val="0"/>
    <w:pPr>
      <w:ind w:left="1470"/>
      <w:jc w:val="left"/>
    </w:pPr>
    <w:rPr>
      <w:sz w:val="18"/>
      <w:szCs w:val="18"/>
    </w:rPr>
  </w:style>
  <w:style w:type="paragraph" w:styleId="23">
    <w:name w:val="index 3"/>
    <w:basedOn w:val="1"/>
    <w:next w:val="1"/>
    <w:qFormat/>
    <w:uiPriority w:val="0"/>
    <w:pPr>
      <w:tabs>
        <w:tab w:val="left" w:pos="1756"/>
      </w:tabs>
      <w:ind w:left="1756" w:hanging="425"/>
    </w:pPr>
    <w:rPr>
      <w:sz w:val="24"/>
    </w:rPr>
  </w:style>
  <w:style w:type="paragraph" w:styleId="24">
    <w:name w:val="Date"/>
    <w:basedOn w:val="1"/>
    <w:next w:val="1"/>
    <w:link w:val="57"/>
    <w:qFormat/>
    <w:uiPriority w:val="0"/>
    <w:rPr>
      <w:sz w:val="28"/>
      <w:szCs w:val="20"/>
    </w:rPr>
  </w:style>
  <w:style w:type="paragraph" w:styleId="25">
    <w:name w:val="Body Text Indent 2"/>
    <w:basedOn w:val="1"/>
    <w:link w:val="101"/>
    <w:qFormat/>
    <w:uiPriority w:val="0"/>
    <w:pPr>
      <w:tabs>
        <w:tab w:val="left" w:pos="1140"/>
      </w:tabs>
      <w:ind w:firstLine="560" w:firstLineChars="200"/>
    </w:pPr>
    <w:rPr>
      <w:rFonts w:ascii="Arial" w:hAnsi="Arial"/>
      <w:color w:val="000000"/>
      <w:sz w:val="28"/>
    </w:rPr>
  </w:style>
  <w:style w:type="paragraph" w:styleId="26">
    <w:name w:val="Balloon Text"/>
    <w:basedOn w:val="1"/>
    <w:qFormat/>
    <w:uiPriority w:val="0"/>
    <w:rPr>
      <w:sz w:val="18"/>
      <w:szCs w:val="18"/>
    </w:rPr>
  </w:style>
  <w:style w:type="paragraph" w:styleId="27">
    <w:name w:val="footer"/>
    <w:basedOn w:val="1"/>
    <w:link w:val="103"/>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99"/>
    <w:pPr>
      <w:spacing w:line="300" w:lineRule="auto"/>
    </w:pPr>
    <w:rPr>
      <w:sz w:val="24"/>
    </w:rPr>
  </w:style>
  <w:style w:type="paragraph" w:styleId="39">
    <w:name w:val="annotation subject"/>
    <w:basedOn w:val="14"/>
    <w:next w:val="14"/>
    <w:link w:val="105"/>
    <w:qFormat/>
    <w:uiPriority w:val="99"/>
    <w:rPr>
      <w:b/>
      <w:bCs/>
    </w:rPr>
  </w:style>
  <w:style w:type="paragraph" w:styleId="40">
    <w:name w:val="Body Text First Indent"/>
    <w:basedOn w:val="1"/>
    <w:next w:val="1"/>
    <w:qFormat/>
    <w:uiPriority w:val="99"/>
    <w:pPr>
      <w:spacing w:after="120" w:line="275" w:lineRule="atLeast"/>
      <w:ind w:firstLine="420"/>
      <w:textAlignment w:val="baseline"/>
    </w:pPr>
  </w:style>
  <w:style w:type="paragraph" w:styleId="41">
    <w:name w:val="Body Text First Indent 2"/>
    <w:basedOn w:val="17"/>
    <w:next w:val="1"/>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paragraph" w:customStyle="1" w:styleId="52">
    <w:name w:val="表格文字"/>
    <w:basedOn w:val="1"/>
    <w:next w:val="16"/>
    <w:qFormat/>
    <w:uiPriority w:val="0"/>
  </w:style>
  <w:style w:type="character" w:customStyle="1" w:styleId="53">
    <w:name w:val="title21"/>
    <w:qFormat/>
    <w:uiPriority w:val="0"/>
    <w:rPr>
      <w:b/>
      <w:bCs/>
      <w:color w:val="000000"/>
      <w:sz w:val="20"/>
      <w:szCs w:val="20"/>
      <w:u w:val="none"/>
    </w:rPr>
  </w:style>
  <w:style w:type="character" w:customStyle="1" w:styleId="54">
    <w:name w:val="Texte Char"/>
    <w:qFormat/>
    <w:uiPriority w:val="0"/>
    <w:rPr>
      <w:rFonts w:ascii="宋体" w:hAnsi="Courier New" w:eastAsia="宋体"/>
      <w:kern w:val="2"/>
      <w:sz w:val="21"/>
      <w:szCs w:val="21"/>
      <w:lang w:val="en-US" w:eastAsia="zh-CN" w:bidi="ar-SA"/>
    </w:rPr>
  </w:style>
  <w:style w:type="character" w:customStyle="1" w:styleId="55">
    <w:name w:val="content1"/>
    <w:qFormat/>
    <w:uiPriority w:val="0"/>
    <w:rPr>
      <w:sz w:val="18"/>
      <w:szCs w:val="18"/>
    </w:rPr>
  </w:style>
  <w:style w:type="character" w:customStyle="1" w:styleId="56">
    <w:name w:val="标题 2 Char"/>
    <w:link w:val="3"/>
    <w:qFormat/>
    <w:uiPriority w:val="9"/>
    <w:rPr>
      <w:rFonts w:ascii="Arial" w:hAnsi="Arial" w:eastAsia="黑体"/>
      <w:b/>
      <w:bCs/>
      <w:kern w:val="2"/>
      <w:sz w:val="30"/>
      <w:szCs w:val="32"/>
    </w:rPr>
  </w:style>
  <w:style w:type="character" w:customStyle="1" w:styleId="57">
    <w:name w:val="日期 Char"/>
    <w:link w:val="24"/>
    <w:qFormat/>
    <w:uiPriority w:val="0"/>
    <w:rPr>
      <w:rFonts w:eastAsia="宋体"/>
      <w:kern w:val="2"/>
      <w:sz w:val="28"/>
      <w:lang w:val="en-US" w:eastAsia="zh-CN" w:bidi="ar-SA"/>
    </w:rPr>
  </w:style>
  <w:style w:type="character" w:customStyle="1" w:styleId="58">
    <w:name w:val="纯文本 Char1"/>
    <w:link w:val="21"/>
    <w:qFormat/>
    <w:uiPriority w:val="0"/>
    <w:rPr>
      <w:rFonts w:ascii="宋体" w:hAnsi="Courier New" w:eastAsia="宋体" w:cs="Courier New"/>
      <w:kern w:val="2"/>
      <w:sz w:val="21"/>
      <w:szCs w:val="21"/>
      <w:lang w:val="en-US" w:eastAsia="zh-CN" w:bidi="ar-SA"/>
    </w:rPr>
  </w:style>
  <w:style w:type="character" w:customStyle="1" w:styleId="59">
    <w:name w:val="批注文字 Char"/>
    <w:link w:val="14"/>
    <w:qFormat/>
    <w:uiPriority w:val="99"/>
    <w:rPr>
      <w:rFonts w:eastAsia="宋体"/>
      <w:kern w:val="2"/>
      <w:sz w:val="21"/>
      <w:szCs w:val="24"/>
      <w:lang w:val="en-US" w:eastAsia="zh-CN" w:bidi="ar-SA"/>
    </w:rPr>
  </w:style>
  <w:style w:type="character" w:customStyle="1" w:styleId="60">
    <w:name w:val="font1"/>
    <w:basedOn w:val="44"/>
    <w:qFormat/>
    <w:uiPriority w:val="0"/>
  </w:style>
  <w:style w:type="character" w:customStyle="1" w:styleId="61">
    <w:name w:val="标题 1 Char"/>
    <w:link w:val="2"/>
    <w:qFormat/>
    <w:uiPriority w:val="9"/>
    <w:rPr>
      <w:rFonts w:eastAsia="黑体"/>
      <w:b/>
      <w:bCs/>
      <w:sz w:val="32"/>
      <w:szCs w:val="44"/>
    </w:rPr>
  </w:style>
  <w:style w:type="character" w:customStyle="1" w:styleId="62">
    <w:name w:val="Char Char7"/>
    <w:qFormat/>
    <w:uiPriority w:val="0"/>
    <w:rPr>
      <w:rFonts w:ascii="Arial" w:hAnsi="Arial" w:eastAsia="黑体"/>
      <w:b/>
      <w:bCs/>
      <w:kern w:val="2"/>
      <w:sz w:val="30"/>
      <w:szCs w:val="32"/>
      <w:lang w:val="en-US" w:eastAsia="zh-CN" w:bidi="ar-SA"/>
    </w:rPr>
  </w:style>
  <w:style w:type="character" w:customStyle="1" w:styleId="63">
    <w:name w:val="标题 3 Char"/>
    <w:link w:val="4"/>
    <w:qFormat/>
    <w:uiPriority w:val="9"/>
    <w:rPr>
      <w:rFonts w:eastAsia="黑体"/>
      <w:b/>
      <w:bCs/>
      <w:kern w:val="2"/>
      <w:sz w:val="28"/>
      <w:szCs w:val="32"/>
      <w:lang w:val="en-US" w:eastAsia="zh-CN" w:bidi="ar-SA"/>
    </w:rPr>
  </w:style>
  <w:style w:type="character" w:customStyle="1" w:styleId="64">
    <w:name w:val="正文缩进 Char"/>
    <w:link w:val="9"/>
    <w:qFormat/>
    <w:uiPriority w:val="0"/>
    <w:rPr>
      <w:rFonts w:eastAsia="宋体"/>
      <w:lang w:val="en-US" w:eastAsia="en-US" w:bidi="ar-SA"/>
    </w:rPr>
  </w:style>
  <w:style w:type="character" w:customStyle="1" w:styleId="65">
    <w:name w:val="Char Char4"/>
    <w:qFormat/>
    <w:uiPriority w:val="0"/>
    <w:rPr>
      <w:rFonts w:ascii="Arial" w:hAnsi="Arial" w:eastAsia="黑体"/>
      <w:b/>
      <w:bCs/>
      <w:kern w:val="2"/>
      <w:sz w:val="30"/>
      <w:szCs w:val="32"/>
      <w:lang w:val="en-US" w:eastAsia="zh-CN" w:bidi="ar-SA"/>
    </w:rPr>
  </w:style>
  <w:style w:type="paragraph" w:customStyle="1" w:styleId="66">
    <w:name w:val="Char Char Char1 Char Char Char Char"/>
    <w:basedOn w:val="1"/>
    <w:qFormat/>
    <w:uiPriority w:val="0"/>
    <w:pPr>
      <w:widowControl/>
      <w:spacing w:after="160" w:line="240" w:lineRule="exact"/>
      <w:jc w:val="left"/>
    </w:pPr>
    <w:rPr>
      <w:szCs w:val="20"/>
    </w:rPr>
  </w:style>
  <w:style w:type="paragraph" w:customStyle="1" w:styleId="67">
    <w:name w:val="CM10"/>
    <w:basedOn w:val="68"/>
    <w:next w:val="68"/>
    <w:qFormat/>
    <w:uiPriority w:val="0"/>
    <w:pPr>
      <w:spacing w:line="468" w:lineRule="atLeast"/>
    </w:pPr>
    <w:rPr>
      <w:color w:val="auto"/>
    </w:rPr>
  </w:style>
  <w:style w:type="paragraph" w:customStyle="1" w:styleId="6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9">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70">
    <w:name w:val="List Paragraph"/>
    <w:basedOn w:val="1"/>
    <w:link w:val="100"/>
    <w:qFormat/>
    <w:uiPriority w:val="34"/>
    <w:pPr>
      <w:ind w:firstLine="420" w:firstLineChars="200"/>
    </w:pPr>
    <w:rPr>
      <w:rFonts w:ascii="Calibri" w:hAnsi="Calibri"/>
      <w:szCs w:val="22"/>
    </w:rPr>
  </w:style>
  <w:style w:type="paragraph" w:customStyle="1" w:styleId="71">
    <w:name w:val="样式 标题 2PIM2H2Heading 2 Hidden2nd levelh22Header 2l2DO N..."/>
    <w:basedOn w:val="3"/>
    <w:qFormat/>
    <w:uiPriority w:val="0"/>
    <w:pPr>
      <w:jc w:val="left"/>
    </w:pPr>
    <w:rPr>
      <w:rFonts w:cs="宋体"/>
      <w:sz w:val="28"/>
      <w:szCs w:val="20"/>
    </w:rPr>
  </w:style>
  <w:style w:type="paragraph" w:customStyle="1" w:styleId="72">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编号1"/>
    <w:basedOn w:val="1"/>
    <w:qFormat/>
    <w:uiPriority w:val="0"/>
    <w:pPr>
      <w:spacing w:line="360" w:lineRule="auto"/>
    </w:pPr>
    <w:rPr>
      <w:rFonts w:ascii="Arial" w:hAnsi="Arial"/>
      <w:sz w:val="24"/>
      <w:szCs w:val="20"/>
    </w:rPr>
  </w:style>
  <w:style w:type="paragraph" w:customStyle="1" w:styleId="7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6">
    <w:name w:val="表头文本"/>
    <w:basedOn w:val="1"/>
    <w:qFormat/>
    <w:uiPriority w:val="0"/>
    <w:pPr>
      <w:autoSpaceDE w:val="0"/>
      <w:autoSpaceDN w:val="0"/>
      <w:adjustRightInd w:val="0"/>
      <w:jc w:val="center"/>
    </w:pPr>
    <w:rPr>
      <w:b/>
      <w:kern w:val="0"/>
      <w:sz w:val="24"/>
      <w:szCs w:val="20"/>
    </w:rPr>
  </w:style>
  <w:style w:type="paragraph" w:customStyle="1" w:styleId="7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8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4"/>
    <w:basedOn w:val="1"/>
    <w:next w:val="21"/>
    <w:qFormat/>
    <w:uiPriority w:val="0"/>
    <w:rPr>
      <w:rFonts w:ascii="宋体" w:hAnsi="Courier New" w:cs="Courier New"/>
      <w:szCs w:val="21"/>
    </w:rPr>
  </w:style>
  <w:style w:type="paragraph" w:customStyle="1" w:styleId="82">
    <w:name w:val="纯文本 Char"/>
    <w:basedOn w:val="1"/>
    <w:next w:val="21"/>
    <w:qFormat/>
    <w:uiPriority w:val="0"/>
    <w:rPr>
      <w:rFonts w:ascii="宋体" w:hAnsi="Courier New"/>
      <w:szCs w:val="20"/>
    </w:rPr>
  </w:style>
  <w:style w:type="paragraph" w:customStyle="1" w:styleId="83">
    <w:name w:val="样式3"/>
    <w:basedOn w:val="21"/>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70"/>
    <w:qFormat/>
    <w:uiPriority w:val="0"/>
    <w:rPr>
      <w:rFonts w:ascii="Calibri" w:hAnsi="Calibri"/>
      <w:kern w:val="2"/>
      <w:sz w:val="21"/>
      <w:szCs w:val="22"/>
    </w:rPr>
  </w:style>
  <w:style w:type="character" w:customStyle="1" w:styleId="101">
    <w:name w:val="正文文本缩进 2 Char"/>
    <w:link w:val="25"/>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7"/>
    <w:qFormat/>
    <w:uiPriority w:val="99"/>
    <w:rPr>
      <w:kern w:val="2"/>
      <w:sz w:val="18"/>
      <w:szCs w:val="18"/>
    </w:rPr>
  </w:style>
  <w:style w:type="character" w:customStyle="1" w:styleId="104">
    <w:name w:val="副标题 Char"/>
    <w:basedOn w:val="44"/>
    <w:link w:val="31"/>
    <w:qFormat/>
    <w:uiPriority w:val="0"/>
    <w:rPr>
      <w:rFonts w:ascii="Cambria" w:hAnsi="Cambria"/>
      <w:b/>
      <w:bCs/>
      <w:kern w:val="28"/>
      <w:sz w:val="32"/>
      <w:szCs w:val="32"/>
    </w:rPr>
  </w:style>
  <w:style w:type="character" w:customStyle="1" w:styleId="105">
    <w:name w:val="批注主题 Char"/>
    <w:basedOn w:val="59"/>
    <w:link w:val="39"/>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24</Pages>
  <Words>777</Words>
  <Characters>863</Characters>
  <Lines>54</Lines>
  <Paragraphs>15</Paragraphs>
  <TotalTime>183</TotalTime>
  <ScaleCrop>false</ScaleCrop>
  <LinksUpToDate>false</LinksUpToDate>
  <CharactersWithSpaces>888</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2023-05-25T21:34:00Z</dcterms:created>
  <dc:creator>黄振斌</dc:creator>
  <cp:lastModifiedBy>逸凡</cp:lastModifiedBy>
  <cp:lastPrinted>2025-12-21T08:13:00Z</cp:lastPrinted>
  <dcterms:modified xsi:type="dcterms:W3CDTF">2026-03-19T14:32:14Z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eyJoZGlkIjoiMzQ5MWQyMmMzYmEyODU1MjE3MDljYmI1MWY0MDBhODgiLCJ1c2VySWQiOiIyNDYxODc0ODQifQ==</vt:lpwstr>
  </property>
  <property fmtid="{D5CDD505-2E9C-101B-9397-08002B2CF9AE}" pid="4" name="ICV">
    <vt:lpwstr>6F73F1B862C24F499D5C7F8DC34A3B6A_13</vt:lpwstr>
  </property>
</Properties>
</file>