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1E74F38C">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多功能声级计</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3</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3</w:t>
      </w:r>
      <w:r>
        <w:rPr>
          <w:rFonts w:cs="宋体" w:asciiTheme="minorEastAsia" w:hAnsiTheme="minorEastAsia" w:eastAsiaTheme="minorEastAsia"/>
          <w:b/>
          <w:bCs/>
          <w:kern w:val="0"/>
          <w:sz w:val="32"/>
          <w:szCs w:val="32"/>
        </w:rPr>
        <w:t>月</w:t>
      </w:r>
    </w:p>
    <w:p w14:paraId="068395E6">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723F5D0C">
          <w:pPr>
            <w:pStyle w:val="30"/>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_Toc313287975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_Toc313287975 \h </w:instrText>
          </w:r>
          <w:r>
            <w:fldChar w:fldCharType="separate"/>
          </w:r>
          <w:r>
            <w:t>3</w:t>
          </w:r>
          <w:r>
            <w:fldChar w:fldCharType="end"/>
          </w:r>
          <w:r>
            <w:rPr>
              <w:rFonts w:asciiTheme="minorEastAsia" w:hAnsiTheme="minorEastAsia" w:eastAsiaTheme="minorEastAsia"/>
              <w:szCs w:val="24"/>
            </w:rPr>
            <w:fldChar w:fldCharType="end"/>
          </w:r>
        </w:p>
        <w:p w14:paraId="34BE824E">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_Toc333307017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_Toc333307017 \h </w:instrText>
          </w:r>
          <w:r>
            <w:fldChar w:fldCharType="separate"/>
          </w:r>
          <w:r>
            <w:t>5</w:t>
          </w:r>
          <w:r>
            <w:fldChar w:fldCharType="end"/>
          </w:r>
          <w:r>
            <w:rPr>
              <w:rFonts w:asciiTheme="minorEastAsia" w:hAnsiTheme="minorEastAsia" w:eastAsiaTheme="minorEastAsia"/>
            </w:rPr>
            <w:fldChar w:fldCharType="end"/>
          </w:r>
        </w:p>
        <w:p w14:paraId="3D074B58">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_Toc54171549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_Toc54171549 \h </w:instrText>
          </w:r>
          <w:r>
            <w:fldChar w:fldCharType="separate"/>
          </w:r>
          <w:r>
            <w:t>9</w:t>
          </w:r>
          <w:r>
            <w:fldChar w:fldCharType="end"/>
          </w:r>
          <w:r>
            <w:rPr>
              <w:rFonts w:asciiTheme="minorEastAsia" w:hAnsiTheme="minorEastAsia" w:eastAsiaTheme="minorEastAsia"/>
            </w:rPr>
            <w:fldChar w:fldCharType="end"/>
          </w:r>
        </w:p>
        <w:p w14:paraId="6CD089BF">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_Toc1791154272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_Toc1791154272 \h </w:instrText>
          </w:r>
          <w:r>
            <w:fldChar w:fldCharType="separate"/>
          </w:r>
          <w:r>
            <w:t>10</w:t>
          </w:r>
          <w:r>
            <w:fldChar w:fldCharType="end"/>
          </w:r>
          <w:r>
            <w:rPr>
              <w:rFonts w:asciiTheme="minorEastAsia" w:hAnsiTheme="minorEastAsia" w:eastAsiaTheme="minorEastAsia"/>
            </w:rPr>
            <w:fldChar w:fldCharType="end"/>
          </w:r>
        </w:p>
        <w:p w14:paraId="7BC1162B">
          <w:pPr>
            <w:pStyle w:val="30"/>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_Toc567390200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_Toc567390200 \h </w:instrText>
          </w:r>
          <w:r>
            <w:fldChar w:fldCharType="separate"/>
          </w:r>
          <w:r>
            <w:t>15</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1109DEC4">
      <w:pPr>
        <w:sectPr>
          <w:pgSz w:w="11906" w:h="16838"/>
          <w:pgMar w:top="1418" w:right="1418" w:bottom="1418" w:left="1418" w:header="851" w:footer="992" w:gutter="0"/>
          <w:cols w:space="720" w:num="1"/>
          <w:titlePg/>
          <w:docGrid w:linePitch="312" w:charSpace="0"/>
        </w:sectPr>
      </w:pPr>
    </w:p>
    <w:p w14:paraId="67FE6487">
      <w:pPr>
        <w:pStyle w:val="4"/>
        <w:spacing w:before="240" w:after="240"/>
      </w:pPr>
      <w:bookmarkStart w:id="2" w:name="_Toc313287975"/>
      <w:r>
        <w:t>第一章</w:t>
      </w:r>
      <w:r>
        <w:rPr>
          <w:rFonts w:hint="eastAsia" w:ascii="宋体" w:hAnsi="宋体" w:eastAsia="宋体" w:cs="宋体"/>
        </w:rPr>
        <w:t xml:space="preserve">  </w:t>
      </w:r>
      <w:r>
        <w:rPr>
          <w:rFonts w:hint="eastAsia"/>
          <w:lang w:eastAsia="zh-CN"/>
        </w:rPr>
        <w:t>采购</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73CEF4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多功能声级计</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eastAsia="宋体" w:cs="宋体" w:asciiTheme="minorEastAsia" w:hAnsi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rPr>
        <w:t>康老师（后勤保障部），联系方式：0592-6248621</w:t>
      </w:r>
    </w:p>
    <w:p w14:paraId="0DE5CAF8">
      <w:pPr>
        <w:sectPr>
          <w:pgSz w:w="11906" w:h="16838"/>
          <w:pgMar w:top="1418" w:right="1418" w:bottom="1418" w:left="1418" w:header="851" w:footer="992" w:gutter="0"/>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3"/>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2036"/>
        <w:gridCol w:w="794"/>
        <w:gridCol w:w="1006"/>
        <w:gridCol w:w="1496"/>
        <w:gridCol w:w="1551"/>
        <w:gridCol w:w="1478"/>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5"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交付期限</w:t>
            </w:r>
          </w:p>
        </w:tc>
        <w:tc>
          <w:tcPr>
            <w:tcW w:w="809"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115"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多功能声级计</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10000元</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成交公告发布之日起7日内</w:t>
            </w:r>
          </w:p>
        </w:tc>
        <w:tc>
          <w:tcPr>
            <w:tcW w:w="809"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2169C1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3FE7FA5">
      <w:pPr>
        <w:widowControl/>
        <w:spacing w:line="360" w:lineRule="auto"/>
        <w:ind w:firstLine="480" w:firstLineChars="200"/>
        <w:jc w:val="left"/>
        <w:rPr>
          <w:rFonts w:cs="宋体" w:asciiTheme="minorEastAsia" w:hAnsiTheme="minorEastAsia" w:eastAsiaTheme="minorEastAsia"/>
          <w:kern w:val="0"/>
          <w:sz w:val="24"/>
        </w:rPr>
      </w:pPr>
    </w:p>
    <w:p w14:paraId="56777212"/>
    <w:p w14:paraId="294E282E">
      <w:pPr>
        <w:sectPr>
          <w:pgSz w:w="11906" w:h="16838"/>
          <w:pgMar w:top="1418" w:right="1418" w:bottom="1418" w:left="1418" w:header="851" w:footer="992" w:gutter="0"/>
          <w:cols w:space="720" w:num="1"/>
          <w:titlePg/>
          <w:docGrid w:linePitch="312" w:charSpace="0"/>
        </w:sectPr>
      </w:pPr>
    </w:p>
    <w:p w14:paraId="10500DBA">
      <w:pPr>
        <w:pStyle w:val="4"/>
        <w:spacing w:before="240" w:after="240"/>
      </w:pPr>
      <w:bookmarkStart w:id="3" w:name="_Toc333307017"/>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239257CB">
            <w:pPr>
              <w:spacing w:line="276" w:lineRule="auto"/>
              <w:rPr>
                <w:rFonts w:hint="eastAsia"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44D210E5">
            <w:pPr>
              <w:pStyle w:val="42"/>
              <w:ind w:left="0" w:leftChars="0" w:firstLine="0" w:firstLineChars="0"/>
              <w:rPr>
                <w:rFonts w:hint="eastAsia" w:ascii="宋体" w:hAnsi="宋体" w:cs="宋体"/>
                <w:kern w:val="0"/>
                <w:sz w:val="24"/>
              </w:rPr>
            </w:pPr>
          </w:p>
          <w:p w14:paraId="0734D8A2">
            <w:pPr>
              <w:rPr>
                <w:rFonts w:hint="eastAsia" w:ascii="宋体" w:hAnsi="宋体" w:cs="宋体"/>
                <w:kern w:val="0"/>
                <w:sz w:val="24"/>
              </w:rPr>
            </w:pPr>
          </w:p>
          <w:p w14:paraId="7C05EBD6">
            <w:pPr>
              <w:pStyle w:val="42"/>
              <w:ind w:left="0" w:leftChars="0" w:firstLine="0" w:firstLineChars="0"/>
            </w:pP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4"/>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4"/>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0C7ABE09">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427699E1">
      <w:pPr>
        <w:pStyle w:val="4"/>
        <w:spacing w:before="240" w:after="240"/>
      </w:pPr>
      <w:bookmarkStart w:id="4" w:name="_Toc54171549"/>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最低评审价法</w:t>
      </w:r>
      <w:r>
        <w:rPr>
          <w:rFonts w:cs="宋体" w:asciiTheme="minorEastAsia" w:hAnsiTheme="minorEastAsia" w:eastAsiaTheme="minorEastAsia"/>
          <w:kern w:val="0"/>
          <w:sz w:val="24"/>
          <w:highlight w:val="none"/>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7697DFD6">
      <w:pPr>
        <w:rPr>
          <w:kern w:val="0"/>
        </w:rPr>
        <w:sectPr>
          <w:pgSz w:w="11906" w:h="16838"/>
          <w:pgMar w:top="1418" w:right="1418" w:bottom="1418" w:left="1418" w:header="851" w:footer="992" w:gutter="0"/>
          <w:cols w:space="720" w:num="1"/>
          <w:titlePg/>
          <w:docGrid w:linePitch="312" w:charSpace="0"/>
        </w:sectPr>
      </w:pPr>
    </w:p>
    <w:p w14:paraId="4E280FEB">
      <w:pPr>
        <w:pStyle w:val="4"/>
        <w:spacing w:before="240" w:after="240"/>
        <w:rPr>
          <w:rFonts w:ascii="宋体" w:hAnsi="宋体"/>
          <w:sz w:val="24"/>
        </w:rPr>
      </w:pPr>
      <w:bookmarkStart w:id="5" w:name="_Toc1791154272"/>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70"/>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4D9AA46">
      <w:pPr>
        <w:pStyle w:val="70"/>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本项目为厦门市杏林医院多功能声级计一台，交付期限为成交公告发布之日</w:t>
      </w:r>
      <w:r>
        <w:rPr>
          <w:rFonts w:hint="eastAsia" w:ascii="宋体" w:hAnsi="宋体"/>
          <w:sz w:val="24"/>
          <w:szCs w:val="28"/>
          <w:highlight w:val="none"/>
          <w:lang w:eastAsia="zh-CN"/>
        </w:rPr>
        <w:t>起</w:t>
      </w:r>
      <w:r>
        <w:rPr>
          <w:rFonts w:hint="eastAsia" w:ascii="宋体" w:hAnsi="宋体"/>
          <w:sz w:val="24"/>
          <w:szCs w:val="28"/>
          <w:highlight w:val="none"/>
          <w:lang w:val="en-US" w:eastAsia="zh-CN"/>
        </w:rPr>
        <w:t>7日</w:t>
      </w:r>
      <w:r>
        <w:rPr>
          <w:rFonts w:hint="eastAsia" w:ascii="宋体" w:hAnsi="宋体"/>
          <w:sz w:val="24"/>
          <w:szCs w:val="28"/>
          <w:lang w:val="en-US" w:eastAsia="zh-CN"/>
        </w:rPr>
        <w:t>内</w:t>
      </w:r>
      <w:r>
        <w:rPr>
          <w:rFonts w:hint="eastAsia" w:ascii="宋体" w:hAnsi="宋体"/>
          <w:sz w:val="24"/>
          <w:szCs w:val="28"/>
          <w:lang w:eastAsia="zh-CN"/>
        </w:rPr>
        <w:t>，预算为</w:t>
      </w:r>
      <w:r>
        <w:rPr>
          <w:rFonts w:hint="eastAsia" w:ascii="宋体" w:hAnsi="宋体"/>
          <w:sz w:val="24"/>
          <w:szCs w:val="28"/>
          <w:lang w:val="en-US" w:eastAsia="zh-CN"/>
        </w:rPr>
        <w:t>1</w:t>
      </w:r>
      <w:r>
        <w:rPr>
          <w:rFonts w:hint="eastAsia" w:ascii="宋体" w:hAnsi="宋体"/>
          <w:sz w:val="24"/>
          <w:szCs w:val="28"/>
          <w:lang w:eastAsia="zh-CN"/>
        </w:rPr>
        <w:t>万元。高精度多功能声级计用于医院职业病诊断办公室开展危害现场调查工作，适用于准确检测作业场所噪声强度。</w:t>
      </w:r>
    </w:p>
    <w:p w14:paraId="4FC82BB7">
      <w:pPr>
        <w:pStyle w:val="70"/>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7FA73043">
      <w:pPr>
        <w:pStyle w:val="70"/>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1、参数明细：</w:t>
      </w:r>
    </w:p>
    <w:tbl>
      <w:tblPr>
        <w:tblStyle w:val="43"/>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2"/>
        <w:gridCol w:w="5542"/>
        <w:gridCol w:w="2602"/>
      </w:tblGrid>
      <w:tr w14:paraId="6B8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794A95">
            <w:pPr>
              <w:pStyle w:val="70"/>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w:t>
            </w:r>
            <w:r>
              <w:rPr>
                <w:rFonts w:hint="eastAsia" w:ascii="宋体" w:hAnsi="宋体" w:cs="Times New Roman"/>
                <w:sz w:val="24"/>
                <w:szCs w:val="28"/>
                <w:lang w:val="en-US" w:eastAsia="zh-CN"/>
              </w:rPr>
              <w:t>名称</w:t>
            </w:r>
          </w:p>
        </w:tc>
        <w:tc>
          <w:tcPr>
            <w:tcW w:w="297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699EE8">
            <w:pPr>
              <w:pStyle w:val="70"/>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w:t>
            </w:r>
            <w:r>
              <w:rPr>
                <w:rFonts w:hint="eastAsia" w:ascii="宋体" w:hAnsi="宋体" w:cs="Times New Roman"/>
                <w:sz w:val="24"/>
                <w:szCs w:val="28"/>
                <w:lang w:val="en-US" w:eastAsia="zh-CN"/>
              </w:rPr>
              <w:t>参数</w:t>
            </w:r>
          </w:p>
        </w:tc>
        <w:tc>
          <w:tcPr>
            <w:tcW w:w="1396"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2185B80">
            <w:pPr>
              <w:pStyle w:val="70"/>
              <w:numPr>
                <w:ilvl w:val="0"/>
                <w:numId w:val="0"/>
              </w:numPr>
              <w:tabs>
                <w:tab w:val="left" w:pos="993"/>
              </w:tabs>
              <w:spacing w:line="360" w:lineRule="auto"/>
              <w:jc w:val="center"/>
              <w:rPr>
                <w:rFonts w:hint="default" w:ascii="宋体" w:hAnsi="宋体" w:eastAsia="宋体" w:cs="Times New Roman"/>
                <w:sz w:val="24"/>
                <w:szCs w:val="28"/>
                <w:lang w:val="en-US" w:eastAsia="zh-CN"/>
              </w:rPr>
            </w:pPr>
            <w:r>
              <w:rPr>
                <w:rFonts w:hint="eastAsia" w:ascii="宋体" w:hAnsi="宋体" w:cs="Times New Roman"/>
                <w:sz w:val="24"/>
                <w:szCs w:val="28"/>
                <w:lang w:val="en-US" w:eastAsia="zh-CN"/>
              </w:rPr>
              <w:t>参考图片</w:t>
            </w:r>
          </w:p>
        </w:tc>
      </w:tr>
      <w:tr w14:paraId="77F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7"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C8B22DF">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多功能声级计</w:t>
            </w:r>
          </w:p>
        </w:tc>
        <w:tc>
          <w:tcPr>
            <w:tcW w:w="297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bottom"/>
          </w:tcPr>
          <w:p w14:paraId="09886050">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（1）声级计应至少为2型或以上；</w:t>
            </w:r>
          </w:p>
          <w:p w14:paraId="00903501">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（2）需完全满足仪器执行标准：</w:t>
            </w:r>
          </w:p>
          <w:p w14:paraId="4BCC7939">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 xml:space="preserve">GB/T3785.1-2010，IEC61672-1:2013 </w:t>
            </w:r>
          </w:p>
          <w:p w14:paraId="2C7965DB">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 xml:space="preserve">GB/T 3241-2010，IEC 61260-1: 2014 </w:t>
            </w:r>
          </w:p>
          <w:p w14:paraId="5C8A7D44">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 xml:space="preserve">GB3836.1-2010，GB3836.4-2010 </w:t>
            </w:r>
          </w:p>
          <w:p w14:paraId="277039D9">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 xml:space="preserve">（3）频率范围应包含：20 Hz～12.5 kHz； </w:t>
            </w:r>
          </w:p>
          <w:p w14:paraId="42F93916">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（4）采样频率：≥32 kHz；</w:t>
            </w:r>
          </w:p>
          <w:p w14:paraId="3937B587">
            <w:pPr>
              <w:pStyle w:val="70"/>
              <w:numPr>
                <w:ilvl w:val="0"/>
                <w:numId w:val="0"/>
              </w:numPr>
              <w:tabs>
                <w:tab w:val="left" w:pos="993"/>
              </w:tabs>
              <w:spacing w:line="360" w:lineRule="auto"/>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（5）频率计权至少具有：并行（同时）A、C、Z；</w:t>
            </w:r>
          </w:p>
          <w:p w14:paraId="6A2B15A2">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（6）时间计权至少具有：并行（同时）F、S﹑I；</w:t>
            </w:r>
          </w:p>
          <w:p w14:paraId="56406506">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（7）本机电噪声：A计权≤20 dB、C计权≤28 dB、 Z 计权≤33 dB；</w:t>
            </w:r>
          </w:p>
          <w:p w14:paraId="3504B505">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（8）显示器为彩屏显示，大小为2.4～2.6寸，分辨率≥240×320，背光亮度可自动调节或手动调节；</w:t>
            </w:r>
          </w:p>
          <w:p w14:paraId="170F5AEA">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（9）可实时测量及显示：包括多个测量指标（至少包含Lxyi、Lxyp、Lxeq、Lxmax、Lxmin、LxN、SD、SEL、LCpeak）、统计分布图、24小时列表值。</w:t>
            </w:r>
          </w:p>
          <w:p w14:paraId="7BFDC29F">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（10）主要测量功能至少包含：总值积分测量功能、统计分析功能（含24小时自动监测功能）、个人声暴露测量；</w:t>
            </w:r>
          </w:p>
          <w:p w14:paraId="4412EDBF">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（11）仪器具备通过 USB 数据线将仪器中的数据转为 U 盘后导入电脑的功能；</w:t>
            </w:r>
          </w:p>
          <w:p w14:paraId="235EC7BC">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（12）日历时钟：每月误差≤1分钟，可校时，内置后备电池；</w:t>
            </w:r>
          </w:p>
          <w:p w14:paraId="5663A418">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（13）电源：可由电池和外接电源同时供电。电池被切断时，全由外接电源供电，外接电源电压很低时，仪器自动切为电池供电，过程中不改变仪器工作状态；</w:t>
            </w:r>
          </w:p>
          <w:p w14:paraId="359945C6">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（14）测量时间：可手动设置，1s到99小时任意设置或分档设置；</w:t>
            </w:r>
            <w:r>
              <w:rPr>
                <w:rFonts w:hint="eastAsia" w:ascii="宋体" w:hAnsi="宋体" w:cs="Times New Roman"/>
                <w:sz w:val="24"/>
                <w:szCs w:val="28"/>
                <w:lang w:val="en-US" w:eastAsia="zh-CN"/>
              </w:rPr>
              <w:br w:type="textWrapping"/>
            </w:r>
            <w:r>
              <w:rPr>
                <w:rFonts w:hint="eastAsia" w:ascii="宋体" w:hAnsi="宋体" w:cs="Times New Roman"/>
                <w:sz w:val="24"/>
                <w:szCs w:val="28"/>
                <w:lang w:val="en-US" w:eastAsia="zh-CN"/>
              </w:rPr>
              <w:t>（15）外形尺寸（mm）：260×80×30（±5）；</w:t>
            </w:r>
          </w:p>
          <w:p w14:paraId="430CF241">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（16）个人声暴露计需完全满足如下要求：</w:t>
            </w:r>
          </w:p>
          <w:p w14:paraId="4E7DF381">
            <w:pPr>
              <w:pStyle w:val="70"/>
              <w:numPr>
                <w:ilvl w:val="0"/>
                <w:numId w:val="0"/>
              </w:numPr>
              <w:tabs>
                <w:tab w:val="left" w:pos="993"/>
              </w:tabs>
              <w:spacing w:line="360" w:lineRule="auto"/>
              <w:ind w:firstLine="480" w:firstLineChars="200"/>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①满足标准要求：GB/T 15952-2010，IEC 61252:2017，</w:t>
            </w:r>
          </w:p>
          <w:p w14:paraId="68098918">
            <w:pPr>
              <w:pStyle w:val="70"/>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GB/T 3785.1-2010 2 级，IEC 61672-1：2013 Class 2</w:t>
            </w:r>
          </w:p>
          <w:p w14:paraId="0BEE6A2A">
            <w:pPr>
              <w:pStyle w:val="70"/>
              <w:numPr>
                <w:ilvl w:val="0"/>
                <w:numId w:val="0"/>
              </w:numPr>
              <w:tabs>
                <w:tab w:val="left" w:pos="993"/>
              </w:tabs>
              <w:spacing w:line="360" w:lineRule="auto"/>
              <w:ind w:firstLine="480" w:firstLineChars="200"/>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②</w:t>
            </w:r>
            <w:r>
              <w:rPr>
                <w:rFonts w:hint="default" w:ascii="宋体" w:hAnsi="宋体" w:cs="Times New Roman"/>
                <w:sz w:val="24"/>
                <w:szCs w:val="28"/>
                <w:lang w:val="en-US" w:eastAsia="zh-CN"/>
              </w:rPr>
              <w:t>级线性范围</w:t>
            </w:r>
            <w:r>
              <w:rPr>
                <w:rFonts w:hint="eastAsia" w:ascii="宋体" w:hAnsi="宋体" w:cs="Times New Roman"/>
                <w:sz w:val="24"/>
                <w:szCs w:val="28"/>
                <w:lang w:val="en-US" w:eastAsia="zh-CN"/>
              </w:rPr>
              <w:t>≥</w:t>
            </w:r>
            <w:r>
              <w:rPr>
                <w:rFonts w:hint="default" w:ascii="宋体" w:hAnsi="宋体" w:cs="Times New Roman"/>
                <w:sz w:val="24"/>
                <w:szCs w:val="28"/>
                <w:lang w:val="en-US" w:eastAsia="zh-CN"/>
              </w:rPr>
              <w:t xml:space="preserve">90 dB； </w:t>
            </w:r>
          </w:p>
          <w:p w14:paraId="53B3F75D">
            <w:pPr>
              <w:pStyle w:val="70"/>
              <w:numPr>
                <w:ilvl w:val="0"/>
                <w:numId w:val="0"/>
              </w:numPr>
              <w:tabs>
                <w:tab w:val="left" w:pos="993"/>
              </w:tabs>
              <w:spacing w:line="360" w:lineRule="auto"/>
              <w:ind w:firstLine="480" w:firstLineChars="200"/>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③</w:t>
            </w:r>
            <w:r>
              <w:rPr>
                <w:rFonts w:hint="default" w:ascii="宋体" w:hAnsi="宋体" w:cs="Times New Roman"/>
                <w:sz w:val="24"/>
                <w:szCs w:val="28"/>
                <w:lang w:val="en-US" w:eastAsia="zh-CN"/>
              </w:rPr>
              <w:t>测量内容</w:t>
            </w:r>
            <w:r>
              <w:rPr>
                <w:rFonts w:hint="eastAsia" w:ascii="宋体" w:hAnsi="宋体" w:cs="Times New Roman"/>
                <w:sz w:val="24"/>
                <w:szCs w:val="28"/>
                <w:lang w:val="en-US" w:eastAsia="zh-CN"/>
              </w:rPr>
              <w:t>至少包含</w:t>
            </w:r>
            <w:r>
              <w:rPr>
                <w:rFonts w:hint="default" w:ascii="宋体" w:hAnsi="宋体" w:cs="Times New Roman"/>
                <w:sz w:val="24"/>
                <w:szCs w:val="28"/>
                <w:lang w:val="en-US" w:eastAsia="zh-CN"/>
              </w:rPr>
              <w:t xml:space="preserve">：TWA、LAVG、DOSE、Lex,8h； </w:t>
            </w:r>
          </w:p>
          <w:p w14:paraId="70659FFF">
            <w:pPr>
              <w:pStyle w:val="70"/>
              <w:numPr>
                <w:ilvl w:val="0"/>
                <w:numId w:val="0"/>
              </w:numPr>
              <w:tabs>
                <w:tab w:val="left" w:pos="993"/>
              </w:tabs>
              <w:spacing w:line="360" w:lineRule="auto"/>
              <w:ind w:firstLine="480" w:firstLineChars="200"/>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④</w:t>
            </w:r>
            <w:r>
              <w:rPr>
                <w:rFonts w:hint="default" w:ascii="宋体" w:hAnsi="宋体" w:cs="Times New Roman"/>
                <w:sz w:val="24"/>
                <w:szCs w:val="28"/>
                <w:lang w:val="en-US" w:eastAsia="zh-CN"/>
              </w:rPr>
              <w:t>交换率</w:t>
            </w:r>
            <w:r>
              <w:rPr>
                <w:rFonts w:hint="eastAsia" w:ascii="宋体" w:hAnsi="宋体" w:cs="Times New Roman"/>
                <w:sz w:val="24"/>
                <w:szCs w:val="28"/>
                <w:lang w:val="en-US" w:eastAsia="zh-CN"/>
              </w:rPr>
              <w:t>至少包含</w:t>
            </w:r>
            <w:r>
              <w:rPr>
                <w:rFonts w:hint="default" w:ascii="宋体" w:hAnsi="宋体" w:cs="Times New Roman"/>
                <w:sz w:val="24"/>
                <w:szCs w:val="28"/>
                <w:lang w:val="en-US" w:eastAsia="zh-CN"/>
              </w:rPr>
              <w:t xml:space="preserve">：3、4、5、6 可选； </w:t>
            </w:r>
          </w:p>
          <w:p w14:paraId="7B55B1F8">
            <w:pPr>
              <w:pStyle w:val="70"/>
              <w:numPr>
                <w:ilvl w:val="0"/>
                <w:numId w:val="0"/>
              </w:numPr>
              <w:tabs>
                <w:tab w:val="left" w:pos="993"/>
              </w:tabs>
              <w:spacing w:line="360" w:lineRule="auto"/>
              <w:ind w:firstLine="480" w:firstLineChars="200"/>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⑤</w:t>
            </w:r>
            <w:r>
              <w:rPr>
                <w:rFonts w:hint="default" w:ascii="宋体" w:hAnsi="宋体" w:cs="Times New Roman"/>
                <w:sz w:val="24"/>
                <w:szCs w:val="28"/>
                <w:lang w:val="en-US" w:eastAsia="zh-CN"/>
              </w:rPr>
              <w:t>门限值</w:t>
            </w:r>
            <w:r>
              <w:rPr>
                <w:rFonts w:hint="eastAsia" w:ascii="宋体" w:hAnsi="宋体" w:cs="Times New Roman"/>
                <w:sz w:val="24"/>
                <w:szCs w:val="28"/>
                <w:lang w:val="en-US" w:eastAsia="zh-CN"/>
              </w:rPr>
              <w:t>至少包含</w:t>
            </w:r>
            <w:r>
              <w:rPr>
                <w:rFonts w:hint="default" w:ascii="宋体" w:hAnsi="宋体" w:cs="Times New Roman"/>
                <w:sz w:val="24"/>
                <w:szCs w:val="28"/>
                <w:lang w:val="en-US" w:eastAsia="zh-CN"/>
              </w:rPr>
              <w:t xml:space="preserve">：(40～90)dB 可选； </w:t>
            </w:r>
          </w:p>
          <w:p w14:paraId="7B6189EB">
            <w:pPr>
              <w:pStyle w:val="70"/>
              <w:numPr>
                <w:ilvl w:val="0"/>
                <w:numId w:val="0"/>
              </w:numPr>
              <w:tabs>
                <w:tab w:val="left" w:pos="993"/>
              </w:tabs>
              <w:spacing w:line="360" w:lineRule="auto"/>
              <w:ind w:firstLine="480" w:firstLineChars="200"/>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⑥</w:t>
            </w:r>
            <w:r>
              <w:rPr>
                <w:rFonts w:hint="default" w:ascii="宋体" w:hAnsi="宋体" w:cs="Times New Roman"/>
                <w:sz w:val="24"/>
                <w:szCs w:val="28"/>
                <w:lang w:val="en-US" w:eastAsia="zh-CN"/>
              </w:rPr>
              <w:t>标准限值</w:t>
            </w:r>
            <w:r>
              <w:rPr>
                <w:rFonts w:hint="eastAsia" w:ascii="宋体" w:hAnsi="宋体" w:cs="Times New Roman"/>
                <w:sz w:val="24"/>
                <w:szCs w:val="28"/>
                <w:lang w:val="en-US" w:eastAsia="zh-CN"/>
              </w:rPr>
              <w:t>至少包含</w:t>
            </w:r>
            <w:r>
              <w:rPr>
                <w:rFonts w:hint="default" w:ascii="宋体" w:hAnsi="宋体" w:cs="Times New Roman"/>
                <w:sz w:val="24"/>
                <w:szCs w:val="28"/>
                <w:lang w:val="en-US" w:eastAsia="zh-CN"/>
              </w:rPr>
              <w:t>：(70～90)dB 可选。</w:t>
            </w:r>
          </w:p>
        </w:tc>
        <w:tc>
          <w:tcPr>
            <w:tcW w:w="1396"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2E124B">
            <w:pPr>
              <w:pStyle w:val="70"/>
              <w:numPr>
                <w:ilvl w:val="0"/>
                <w:numId w:val="0"/>
              </w:numPr>
              <w:tabs>
                <w:tab w:val="left" w:pos="993"/>
              </w:tabs>
              <w:spacing w:line="360" w:lineRule="auto"/>
              <w:jc w:val="center"/>
              <w:rPr>
                <w:rFonts w:hint="default" w:ascii="宋体" w:hAnsi="宋体" w:eastAsia="宋体" w:cs="Times New Roman"/>
                <w:sz w:val="24"/>
                <w:szCs w:val="28"/>
                <w:lang w:val="en-US" w:eastAsia="zh-CN"/>
              </w:rPr>
            </w:pPr>
            <w:r>
              <w:rPr>
                <w:rFonts w:hint="eastAsia" w:ascii="宋体" w:hAnsi="宋体" w:cs="Times New Roman"/>
                <w:sz w:val="24"/>
                <w:szCs w:val="28"/>
                <w:lang w:val="en-US" w:eastAsia="zh-CN"/>
              </w:rPr>
              <w:drawing>
                <wp:anchor distT="0" distB="0" distL="114300" distR="114300" simplePos="0" relativeHeight="251659264" behindDoc="0" locked="0" layoutInCell="1" allowOverlap="1">
                  <wp:simplePos x="0" y="0"/>
                  <wp:positionH relativeFrom="column">
                    <wp:posOffset>148590</wp:posOffset>
                  </wp:positionH>
                  <wp:positionV relativeFrom="paragraph">
                    <wp:posOffset>-1649095</wp:posOffset>
                  </wp:positionV>
                  <wp:extent cx="1403350" cy="2486025"/>
                  <wp:effectExtent l="0" t="0" r="635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403350" cy="2486025"/>
                          </a:xfrm>
                          <a:prstGeom prst="rect">
                            <a:avLst/>
                          </a:prstGeom>
                          <a:noFill/>
                          <a:ln>
                            <a:noFill/>
                          </a:ln>
                        </pic:spPr>
                      </pic:pic>
                    </a:graphicData>
                  </a:graphic>
                </wp:anchor>
              </w:drawing>
            </w:r>
          </w:p>
        </w:tc>
      </w:tr>
    </w:tbl>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宋体" w:hAnsi="宋体" w:eastAsia="宋体"/>
          <w:b/>
          <w:bCs/>
          <w:sz w:val="24"/>
          <w:szCs w:val="28"/>
          <w:lang w:val="en-US" w:eastAsia="zh-CN"/>
        </w:rPr>
        <w:t>、技术响应要求</w:t>
      </w:r>
      <w:r>
        <w:rPr>
          <w:rFonts w:hint="eastAsia" w:asciiTheme="minorEastAsia" w:hAnsiTheme="minorEastAsia" w:eastAsiaTheme="minorEastAsia" w:cstheme="minorEastAsia"/>
          <w:b/>
          <w:bCs/>
          <w:color w:val="auto"/>
          <w:sz w:val="24"/>
          <w:szCs w:val="24"/>
          <w:highlight w:val="none"/>
          <w:lang w:val="en-US" w:eastAsia="zh-CN"/>
        </w:rPr>
        <w:t>：</w:t>
      </w:r>
    </w:p>
    <w:p w14:paraId="4701517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响应供应商应在响应文件中列明所投货物的全套（主体、辅材、配件）的品牌、型号、详细配置、技术规格、主要参数、性能说明、功能介绍、具体产地、生产厂家、数量及对应的分项报价（含单价和总价）等。</w:t>
      </w:r>
    </w:p>
    <w:p w14:paraId="2E0EAD9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宋体" w:hAnsi="宋体" w:cs="Arial"/>
          <w:sz w:val="24"/>
        </w:rPr>
        <w:t>响应供应商提供的货物制造标准、安装标准及技术规范等必须符合国家对该类货物规定的标准（标准以有关机构发布的最新版本为准），技术参数与配置要求不低于本招标项目提供的技术参数与配置要求。</w:t>
      </w:r>
    </w:p>
    <w:p w14:paraId="107A36B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宋体" w:hAnsi="宋体" w:cs="Arial"/>
          <w:sz w:val="24"/>
        </w:rPr>
        <w:t>响应设备附有原厂商印制的技术资料的，响应供应商应在响应文件中附上（中文版，若无中文版，应同时提供中文的翻译材料并对翻译的准确性负责）。</w:t>
      </w:r>
    </w:p>
    <w:p w14:paraId="731ED48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响应供应商应尽可能提供所投主要货物的最新产品彩页、使用手册或技术说明书并加盖响应供应商公章，产品彩页、使用手册或技术说明书样本必须与所报货物保持一致，并对产品彩页、使用手册或技术说明书资料的真实性及与所报货物的符合性负责。产品彩页、使用手册或技术说明书样本与响应文件文字描述不符时，应明确以哪个为准，并说明理由或提供依据，否则评审委员会将做出不利于响应供应商的评审。</w:t>
      </w:r>
    </w:p>
    <w:p w14:paraId="74C0976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宋体" w:hAnsi="宋体" w:cs="Arial"/>
          <w:sz w:val="24"/>
        </w:rPr>
        <w:t>本次采购的货物，响应供应商须保证提供的所有货物必须是未经私自拆封、改配，原厂原包装、正规合格、品质优良的产品，技术资料齐全、满足</w:t>
      </w:r>
      <w:r>
        <w:rPr>
          <w:rFonts w:hint="eastAsia" w:ascii="宋体" w:hAnsi="宋体" w:cs="Arial"/>
          <w:sz w:val="24"/>
          <w:lang w:eastAsia="zh-CN"/>
        </w:rPr>
        <w:t>询价</w:t>
      </w:r>
      <w:r>
        <w:rPr>
          <w:rFonts w:hint="eastAsia" w:ascii="宋体" w:hAnsi="宋体" w:cs="Arial"/>
          <w:sz w:val="24"/>
        </w:rPr>
        <w:t>文件的基本要求。</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1DFBD177">
      <w:pPr>
        <w:pStyle w:val="2"/>
        <w:rPr>
          <w:rFonts w:hint="default"/>
          <w:lang w:val="en-US" w:eastAsia="zh-CN"/>
        </w:rPr>
      </w:pPr>
    </w:p>
    <w:p w14:paraId="51711E68">
      <w:pPr>
        <w:pStyle w:val="70"/>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highlight w:val="none"/>
          <w:lang w:val="en-US" w:eastAsia="zh-CN"/>
        </w:rPr>
      </w:pPr>
      <w:r>
        <w:rPr>
          <w:rFonts w:hint="eastAsia" w:ascii="宋体" w:hAnsi="宋体" w:eastAsia="宋体"/>
          <w:b/>
          <w:bCs/>
          <w:sz w:val="24"/>
          <w:szCs w:val="28"/>
          <w:lang w:val="en-US" w:eastAsia="zh-CN"/>
        </w:rPr>
        <w:t>2</w:t>
      </w:r>
      <w:r>
        <w:rPr>
          <w:rFonts w:hint="eastAsia" w:ascii="宋体" w:hAnsi="宋体" w:eastAsia="宋体"/>
          <w:b/>
          <w:bCs/>
          <w:sz w:val="24"/>
          <w:szCs w:val="28"/>
          <w:highlight w:val="none"/>
          <w:lang w:val="en-US" w:eastAsia="zh-CN"/>
        </w:rPr>
        <w:t>、</w:t>
      </w:r>
      <w:r>
        <w:rPr>
          <w:rFonts w:hint="eastAsia" w:ascii="宋体" w:hAnsi="宋体"/>
          <w:b/>
          <w:bCs/>
          <w:sz w:val="24"/>
          <w:szCs w:val="28"/>
          <w:highlight w:val="none"/>
          <w:lang w:val="en-US" w:eastAsia="zh-CN"/>
        </w:rPr>
        <w:t>交付期限</w:t>
      </w:r>
      <w:r>
        <w:rPr>
          <w:rFonts w:hint="eastAsia" w:ascii="宋体" w:hAnsi="宋体" w:eastAsia="宋体"/>
          <w:sz w:val="24"/>
          <w:szCs w:val="28"/>
          <w:highlight w:val="none"/>
          <w:lang w:val="en-US" w:eastAsia="zh-CN"/>
        </w:rPr>
        <w:t>：自</w:t>
      </w:r>
      <w:r>
        <w:rPr>
          <w:rFonts w:hint="eastAsia" w:ascii="宋体" w:hAnsi="宋体"/>
          <w:sz w:val="24"/>
          <w:szCs w:val="28"/>
          <w:highlight w:val="none"/>
          <w:lang w:val="en-US" w:eastAsia="zh-CN"/>
        </w:rPr>
        <w:t>成交公告发布</w:t>
      </w:r>
      <w:bookmarkStart w:id="7" w:name="_GoBack"/>
      <w:bookmarkEnd w:id="7"/>
      <w:r>
        <w:rPr>
          <w:rFonts w:hint="eastAsia" w:ascii="宋体" w:hAnsi="宋体" w:eastAsia="宋体"/>
          <w:sz w:val="24"/>
          <w:szCs w:val="28"/>
          <w:highlight w:val="none"/>
          <w:lang w:val="en-US" w:eastAsia="zh-CN"/>
        </w:rPr>
        <w:t>之日起</w:t>
      </w:r>
      <w:r>
        <w:rPr>
          <w:rFonts w:hint="eastAsia" w:ascii="宋体" w:hAnsi="宋体"/>
          <w:sz w:val="24"/>
          <w:szCs w:val="28"/>
          <w:highlight w:val="none"/>
          <w:lang w:val="en-US" w:eastAsia="zh-CN"/>
        </w:rPr>
        <w:t>7日内</w:t>
      </w:r>
    </w:p>
    <w:p w14:paraId="12F0410A">
      <w:pPr>
        <w:numPr>
          <w:ilvl w:val="0"/>
          <w:numId w:val="0"/>
        </w:numPr>
        <w:tabs>
          <w:tab w:val="left" w:pos="992"/>
        </w:tabs>
        <w:spacing w:line="460" w:lineRule="exact"/>
        <w:ind w:firstLine="482" w:firstLineChars="200"/>
        <w:rPr>
          <w:rFonts w:hint="eastAsia" w:ascii="宋体" w:hAnsi="宋体" w:cs="宋体"/>
          <w:kern w:val="0"/>
          <w:sz w:val="24"/>
          <w:szCs w:val="24"/>
          <w:highlight w:val="none"/>
        </w:rPr>
      </w:pPr>
      <w:r>
        <w:rPr>
          <w:rFonts w:hint="eastAsia" w:ascii="宋体" w:hAnsi="宋体" w:eastAsia="宋体"/>
          <w:b/>
          <w:bCs/>
          <w:sz w:val="24"/>
          <w:szCs w:val="28"/>
          <w:highlight w:val="none"/>
          <w:lang w:val="en-US" w:eastAsia="zh-CN"/>
        </w:rPr>
        <w:t>3、</w:t>
      </w:r>
      <w:r>
        <w:rPr>
          <w:rFonts w:hint="eastAsia" w:ascii="宋体" w:hAnsi="宋体"/>
          <w:b/>
          <w:bCs/>
          <w:sz w:val="24"/>
          <w:szCs w:val="28"/>
          <w:highlight w:val="none"/>
          <w:lang w:val="en-US" w:eastAsia="zh-CN"/>
        </w:rPr>
        <w:t>响应时间要求：</w:t>
      </w:r>
      <w:r>
        <w:rPr>
          <w:rFonts w:hint="eastAsia" w:asciiTheme="minorEastAsia" w:hAnsiTheme="minorEastAsia" w:eastAsiaTheme="minorEastAsia" w:cstheme="minorEastAsia"/>
          <w:color w:val="auto"/>
          <w:sz w:val="24"/>
          <w:szCs w:val="24"/>
          <w:highlight w:val="none"/>
          <w:lang w:val="en-US" w:eastAsia="zh-CN"/>
        </w:rPr>
        <w:t>采购人下单后，成交供应商需在收到采购人订单后的</w:t>
      </w:r>
      <w:r>
        <w:rPr>
          <w:rFonts w:hint="eastAsia" w:asciiTheme="minorEastAsia" w:hAnsiTheme="minorEastAsia" w:eastAsiaTheme="minorEastAsia" w:cstheme="minorEastAsia"/>
          <w:color w:val="auto"/>
          <w:sz w:val="24"/>
          <w:szCs w:val="24"/>
          <w:highlight w:val="none"/>
          <w:u w:val="single"/>
          <w:lang w:val="en-US" w:eastAsia="zh-CN"/>
        </w:rPr>
        <w:t>24小时内</w:t>
      </w:r>
      <w:r>
        <w:rPr>
          <w:rFonts w:hint="eastAsia" w:asciiTheme="minorEastAsia" w:hAnsiTheme="minorEastAsia" w:eastAsiaTheme="minorEastAsia" w:cstheme="minorEastAsia"/>
          <w:color w:val="auto"/>
          <w:sz w:val="24"/>
          <w:szCs w:val="24"/>
          <w:highlight w:val="none"/>
          <w:lang w:val="en-US" w:eastAsia="zh-CN"/>
        </w:rPr>
        <w:t>将货物送达至指定地点并负责安装调试。</w:t>
      </w:r>
      <w:r>
        <w:rPr>
          <w:rFonts w:hint="eastAsia" w:ascii="宋体" w:hAnsi="宋体" w:cs="宋体"/>
          <w:kern w:val="0"/>
          <w:sz w:val="24"/>
          <w:szCs w:val="24"/>
          <w:highlight w:val="none"/>
        </w:rPr>
        <w:t>如果在服务过程中出现矛盾，</w:t>
      </w:r>
      <w:r>
        <w:rPr>
          <w:rFonts w:hint="eastAsia" w:ascii="宋体" w:hAnsi="宋体" w:cs="宋体"/>
          <w:kern w:val="0"/>
          <w:sz w:val="24"/>
          <w:szCs w:val="24"/>
          <w:highlight w:val="none"/>
          <w:lang w:val="en-US" w:eastAsia="zh-CN"/>
        </w:rPr>
        <w:t>成交供应商</w:t>
      </w:r>
      <w:r>
        <w:rPr>
          <w:rFonts w:hint="eastAsia" w:ascii="宋体" w:hAnsi="宋体" w:cs="宋体"/>
          <w:kern w:val="0"/>
          <w:sz w:val="24"/>
          <w:szCs w:val="24"/>
          <w:highlight w:val="none"/>
        </w:rPr>
        <w:t>应在及时处理的同时，向</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报告。</w:t>
      </w:r>
    </w:p>
    <w:p w14:paraId="45FFF1EC">
      <w:pPr>
        <w:numPr>
          <w:ilvl w:val="0"/>
          <w:numId w:val="0"/>
        </w:numPr>
        <w:tabs>
          <w:tab w:val="left" w:pos="992"/>
        </w:tabs>
        <w:spacing w:line="460" w:lineRule="exact"/>
        <w:ind w:firstLine="482" w:firstLineChars="200"/>
        <w:rPr>
          <w:rFonts w:hint="eastAsia" w:ascii="宋体" w:hAnsi="宋体" w:eastAsia="宋体"/>
          <w:b/>
          <w:bCs/>
          <w:sz w:val="24"/>
          <w:szCs w:val="28"/>
          <w:highlight w:val="none"/>
          <w:lang w:val="en-US" w:eastAsia="zh-CN"/>
        </w:rPr>
      </w:pPr>
      <w:r>
        <w:rPr>
          <w:rFonts w:hint="eastAsia" w:ascii="宋体" w:hAnsi="宋体" w:eastAsia="宋体"/>
          <w:b/>
          <w:bCs/>
          <w:sz w:val="24"/>
          <w:szCs w:val="28"/>
          <w:highlight w:val="none"/>
          <w:lang w:val="en-US" w:eastAsia="zh-CN"/>
        </w:rPr>
        <w:t>4、验收方式数据表格</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5、支付方式</w:t>
      </w:r>
    </w:p>
    <w:p w14:paraId="5BAF1A1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货物完成配送并调试，经采购人与成交供应商双方验收通过并审核无误后，采购人凭收讫货物的验收凭证、对应金额的发票和货物验收合格文件等材料，达到付款条件起60个日历日内向成交供应商一次性支付100％的货物价款。</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供应商的报价视为货物经采购人验收合格并交付使用所有可能发生的费用，包括但不限于货物包装、运输费、采购保管、税收、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6.4供应商对本项目只能有一个报价，采购单位不接受有选择的报价。</w:t>
      </w:r>
    </w:p>
    <w:p w14:paraId="6A06ADE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7、售后服务</w:t>
      </w:r>
    </w:p>
    <w:p w14:paraId="147015F3">
      <w:pPr>
        <w:numPr>
          <w:ilvl w:val="0"/>
          <w:numId w:val="0"/>
        </w:numPr>
        <w:tabs>
          <w:tab w:val="left" w:pos="992"/>
        </w:tabs>
        <w:spacing w:line="460" w:lineRule="exact"/>
        <w:ind w:firstLine="480" w:firstLineChars="200"/>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宋体" w:hAnsi="宋体" w:cs="Arial"/>
          <w:sz w:val="24"/>
        </w:rPr>
        <w:t>响应供应商应按照本采购项目特点提供长期良好的售后服务，并在响应文件中提供详细具体的售后服务承诺条款及保证。售后服务要求提供售后服务方案，方案至少包含售后服务计划、售后服务人员安排以及对保修期外提供相应的服务计划。</w:t>
      </w:r>
    </w:p>
    <w:p w14:paraId="7845973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7.2本项目自验收合格之日起至少提供原厂整机</w:t>
      </w:r>
      <w:r>
        <w:rPr>
          <w:rFonts w:hint="eastAsia" w:asciiTheme="minorEastAsia" w:hAnsiTheme="minorEastAsia" w:eastAsiaTheme="minorEastAsia" w:cstheme="minorEastAsia"/>
          <w:b/>
          <w:bCs/>
          <w:color w:val="auto"/>
          <w:sz w:val="24"/>
          <w:szCs w:val="24"/>
          <w:highlight w:val="none"/>
          <w:lang w:val="en-US" w:eastAsia="zh-CN"/>
        </w:rPr>
        <w:t>2年</w:t>
      </w:r>
      <w:r>
        <w:rPr>
          <w:rFonts w:hint="eastAsia" w:asciiTheme="minorEastAsia" w:hAnsiTheme="minorEastAsia" w:eastAsiaTheme="minorEastAsia" w:cstheme="minorEastAsia"/>
          <w:color w:val="auto"/>
          <w:sz w:val="24"/>
          <w:szCs w:val="24"/>
          <w:highlight w:val="none"/>
          <w:lang w:val="en-US" w:eastAsia="zh-CN"/>
        </w:rPr>
        <w:t>的质保服务。质保期内成交供应商须提供免费售后服务，包括但不限于硬件维护、7×24小时技术支持及咨询服务（电话、远程或现场）、重大故障恢复等内容，所需费用包含在总报价中。</w:t>
      </w:r>
    </w:p>
    <w:p w14:paraId="659510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7.3成交供应商应为采购人提供成交设备的操作、使用及维护的技术培训服务。所有培训费用应包含在总报价中。</w:t>
      </w:r>
    </w:p>
    <w:p w14:paraId="2FD038C7">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7.4质保期后技术服务内容：质保期满后，成交供应商仍应提供终身的售后服务，维修仅收取零配件费用。</w:t>
      </w:r>
    </w:p>
    <w:p w14:paraId="1E4FB755">
      <w:pPr>
        <w:numPr>
          <w:ilvl w:val="0"/>
          <w:numId w:val="0"/>
        </w:numPr>
        <w:tabs>
          <w:tab w:val="left" w:pos="992"/>
        </w:tabs>
        <w:spacing w:line="460" w:lineRule="exact"/>
        <w:ind w:firstLine="480" w:firstLineChars="200"/>
        <w:rPr>
          <w:rFonts w:hint="eastAsia"/>
          <w:lang w:val="en-US" w:eastAsia="zh-CN"/>
        </w:rPr>
      </w:pPr>
      <w:r>
        <w:rPr>
          <w:rFonts w:hint="eastAsia" w:asciiTheme="minorEastAsia" w:hAnsiTheme="minorEastAsia" w:eastAsiaTheme="minorEastAsia" w:cstheme="minorEastAsia"/>
          <w:color w:val="auto"/>
          <w:sz w:val="24"/>
          <w:szCs w:val="24"/>
          <w:highlight w:val="none"/>
          <w:lang w:val="en-US" w:eastAsia="zh-CN"/>
        </w:rPr>
        <w:t>7.4供应商认为有利于采购人的其他优惠条款应单独列明。</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8、违约责任</w:t>
      </w:r>
    </w:p>
    <w:p w14:paraId="7D6FF4B5">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w:t>
      </w:r>
      <w:r>
        <w:rPr>
          <w:rFonts w:hint="eastAsia" w:ascii="宋体" w:hAnsi="宋体"/>
          <w:sz w:val="24"/>
          <w:highlight w:val="none"/>
          <w:lang w:eastAsia="zh-CN"/>
        </w:rPr>
        <w:t>成交供应商</w:t>
      </w:r>
      <w:r>
        <w:rPr>
          <w:rFonts w:hint="eastAsia" w:ascii="宋体" w:hAnsi="宋体"/>
          <w:sz w:val="24"/>
          <w:highlight w:val="none"/>
          <w:lang w:val="en-US" w:eastAsia="zh-CN"/>
        </w:rPr>
        <w:t>逾期交货或逾期完成安装调试</w:t>
      </w:r>
      <w:r>
        <w:rPr>
          <w:rFonts w:hint="eastAsia" w:ascii="宋体" w:hAnsi="宋体"/>
          <w:sz w:val="24"/>
          <w:highlight w:val="none"/>
        </w:rPr>
        <w:t>的，</w:t>
      </w:r>
      <w:r>
        <w:rPr>
          <w:rFonts w:hint="eastAsia" w:ascii="宋体" w:hAnsi="宋体"/>
          <w:sz w:val="24"/>
          <w:highlight w:val="none"/>
          <w:lang w:val="en-US" w:eastAsia="zh-CN"/>
        </w:rPr>
        <w:t>应按</w:t>
      </w:r>
      <w:r>
        <w:rPr>
          <w:rFonts w:hint="eastAsia" w:ascii="宋体" w:hAnsi="宋体"/>
          <w:sz w:val="24"/>
          <w:highlight w:val="none"/>
        </w:rPr>
        <w:t>每逾期一日</w:t>
      </w:r>
      <w:r>
        <w:rPr>
          <w:rFonts w:hint="eastAsia" w:ascii="宋体" w:hAnsi="宋体"/>
          <w:sz w:val="24"/>
          <w:highlight w:val="none"/>
          <w:lang w:eastAsia="zh-CN"/>
        </w:rPr>
        <w:t>，</w:t>
      </w:r>
      <w:r>
        <w:rPr>
          <w:rFonts w:hint="eastAsia" w:ascii="宋体" w:hAnsi="宋体"/>
          <w:sz w:val="24"/>
          <w:highlight w:val="none"/>
          <w:lang w:val="en-US" w:eastAsia="zh-CN"/>
        </w:rPr>
        <w:t>向采购人支付合同总价的5%</w:t>
      </w:r>
      <w:r>
        <w:rPr>
          <w:rFonts w:hint="eastAsia" w:ascii="宋体" w:hAnsi="宋体"/>
          <w:sz w:val="24"/>
          <w:highlight w:val="none"/>
        </w:rPr>
        <w:t>的违约金</w:t>
      </w:r>
      <w:r>
        <w:rPr>
          <w:rFonts w:hint="eastAsia" w:ascii="宋体" w:hAnsi="宋体"/>
          <w:sz w:val="24"/>
          <w:highlight w:val="none"/>
          <w:lang w:eastAsia="zh-CN"/>
        </w:rPr>
        <w:t>。</w:t>
      </w:r>
    </w:p>
    <w:p w14:paraId="5F60FFE0">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.2合同</w:t>
      </w:r>
      <w:r>
        <w:rPr>
          <w:rFonts w:hint="eastAsia" w:ascii="宋体" w:hAnsi="宋体"/>
          <w:color w:val="000000"/>
          <w:sz w:val="24"/>
          <w:szCs w:val="24"/>
          <w:highlight w:val="none"/>
        </w:rPr>
        <w:t>全部</w:t>
      </w:r>
      <w:r>
        <w:rPr>
          <w:rFonts w:hint="eastAsia" w:ascii="宋体" w:hAnsi="宋体"/>
          <w:color w:val="000000"/>
          <w:sz w:val="24"/>
          <w:szCs w:val="24"/>
          <w:highlight w:val="none"/>
          <w:lang w:eastAsia="zh-CN"/>
        </w:rPr>
        <w:t>硬件产品</w:t>
      </w:r>
      <w:r>
        <w:rPr>
          <w:rFonts w:hint="eastAsia" w:ascii="宋体" w:hAnsi="宋体"/>
          <w:color w:val="000000"/>
          <w:sz w:val="24"/>
          <w:szCs w:val="24"/>
          <w:highlight w:val="none"/>
        </w:rPr>
        <w:t>必须符合</w:t>
      </w:r>
      <w:r>
        <w:rPr>
          <w:rFonts w:hint="eastAsia" w:ascii="宋体" w:hAnsi="宋体"/>
          <w:color w:val="000000"/>
          <w:sz w:val="24"/>
          <w:szCs w:val="24"/>
          <w:highlight w:val="none"/>
          <w:lang w:eastAsia="zh-CN"/>
        </w:rPr>
        <w:t>询价文件</w:t>
      </w:r>
      <w:r>
        <w:rPr>
          <w:rFonts w:hint="eastAsia" w:ascii="宋体" w:hAnsi="宋体"/>
          <w:color w:val="000000"/>
          <w:sz w:val="24"/>
          <w:szCs w:val="24"/>
          <w:highlight w:val="none"/>
        </w:rPr>
        <w:t>的质量、</w:t>
      </w:r>
      <w:r>
        <w:rPr>
          <w:rFonts w:hint="eastAsia" w:ascii="宋体" w:hAnsi="宋体"/>
          <w:color w:val="000000"/>
          <w:sz w:val="24"/>
          <w:szCs w:val="24"/>
          <w:highlight w:val="none"/>
          <w:lang w:eastAsia="zh-CN"/>
        </w:rPr>
        <w:t>技术</w:t>
      </w:r>
      <w:r>
        <w:rPr>
          <w:rFonts w:hint="eastAsia" w:ascii="宋体" w:hAnsi="宋体"/>
          <w:color w:val="000000"/>
          <w:sz w:val="24"/>
          <w:szCs w:val="24"/>
          <w:highlight w:val="none"/>
        </w:rPr>
        <w:t>规格、性能</w:t>
      </w:r>
      <w:r>
        <w:rPr>
          <w:rFonts w:hint="eastAsia" w:ascii="宋体" w:hAnsi="宋体"/>
          <w:color w:val="000000"/>
          <w:sz w:val="24"/>
          <w:szCs w:val="24"/>
          <w:highlight w:val="none"/>
          <w:lang w:eastAsia="zh-CN"/>
        </w:rPr>
        <w:t>等，如</w:t>
      </w:r>
      <w:r>
        <w:rPr>
          <w:rFonts w:hint="eastAsia" w:ascii="宋体" w:hAnsi="宋体"/>
          <w:sz w:val="24"/>
          <w:highlight w:val="none"/>
          <w:lang w:val="en-US" w:eastAsia="zh-CN"/>
        </w:rPr>
        <w:t>经</w:t>
      </w:r>
      <w:r>
        <w:rPr>
          <w:rFonts w:hint="eastAsia" w:ascii="宋体" w:hAnsi="宋体"/>
          <w:sz w:val="24"/>
          <w:highlight w:val="none"/>
        </w:rPr>
        <w:t>验收不合格，</w:t>
      </w:r>
      <w:r>
        <w:rPr>
          <w:rFonts w:hint="eastAsia" w:ascii="宋体" w:hAnsi="宋体"/>
          <w:sz w:val="24"/>
          <w:highlight w:val="none"/>
          <w:lang w:eastAsia="zh-CN"/>
        </w:rPr>
        <w:t>成交供应商应及时安排</w:t>
      </w:r>
      <w:r>
        <w:rPr>
          <w:rFonts w:hint="eastAsia" w:ascii="宋体" w:hAnsi="宋体"/>
          <w:sz w:val="24"/>
          <w:highlight w:val="none"/>
        </w:rPr>
        <w:t>换货。</w:t>
      </w:r>
      <w:r>
        <w:rPr>
          <w:rFonts w:hint="eastAsia" w:ascii="宋体" w:hAnsi="宋体"/>
          <w:sz w:val="24"/>
          <w:highlight w:val="none"/>
          <w:lang w:eastAsia="zh-CN"/>
        </w:rPr>
        <w:t>成交供应商</w:t>
      </w:r>
      <w:r>
        <w:rPr>
          <w:rFonts w:hint="eastAsia" w:ascii="宋体" w:hAnsi="宋体"/>
          <w:sz w:val="24"/>
          <w:highlight w:val="none"/>
        </w:rPr>
        <w:t>重新供货导致的交货期延迟的，按</w:t>
      </w:r>
      <w:r>
        <w:rPr>
          <w:rFonts w:hint="eastAsia" w:ascii="宋体" w:hAnsi="宋体"/>
          <w:sz w:val="24"/>
          <w:highlight w:val="none"/>
          <w:lang w:val="en-US" w:eastAsia="zh-CN"/>
        </w:rPr>
        <w:t>6</w:t>
      </w:r>
      <w:r>
        <w:rPr>
          <w:rFonts w:hint="eastAsia" w:ascii="宋体" w:hAnsi="宋体"/>
          <w:sz w:val="24"/>
          <w:highlight w:val="none"/>
        </w:rPr>
        <w:t>.1条处理。</w:t>
      </w:r>
    </w:p>
    <w:p w14:paraId="42EECF0E">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sz w:val="24"/>
          <w:highlight w:val="none"/>
          <w:lang w:val="en-US" w:eastAsia="zh-CN"/>
        </w:rPr>
        <w:t>8</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质保期内，若</w:t>
      </w:r>
      <w:r>
        <w:rPr>
          <w:rFonts w:hint="eastAsia" w:ascii="宋体" w:hAnsi="宋体"/>
          <w:sz w:val="24"/>
          <w:highlight w:val="none"/>
          <w:lang w:eastAsia="zh-CN"/>
        </w:rPr>
        <w:t>成交供应商未按合同约定的时限履行售后及维保服务</w:t>
      </w:r>
      <w:r>
        <w:rPr>
          <w:rFonts w:hint="eastAsia" w:ascii="宋体" w:hAnsi="宋体"/>
          <w:sz w:val="24"/>
          <w:highlight w:val="none"/>
        </w:rPr>
        <w:t>，</w:t>
      </w:r>
      <w:r>
        <w:rPr>
          <w:rFonts w:hint="eastAsia" w:ascii="宋体" w:hAnsi="宋体"/>
          <w:sz w:val="24"/>
          <w:highlight w:val="none"/>
          <w:lang w:eastAsia="zh-CN"/>
        </w:rPr>
        <w:t>每逾期</w:t>
      </w:r>
      <w:r>
        <w:rPr>
          <w:rFonts w:hint="eastAsia" w:ascii="宋体" w:hAnsi="宋体"/>
          <w:sz w:val="24"/>
          <w:highlight w:val="none"/>
          <w:lang w:val="en-US" w:eastAsia="zh-CN"/>
        </w:rPr>
        <w:t>1</w:t>
      </w:r>
      <w:r>
        <w:rPr>
          <w:rFonts w:hint="eastAsia" w:ascii="宋体" w:hAnsi="宋体"/>
          <w:sz w:val="24"/>
          <w:highlight w:val="none"/>
          <w:lang w:eastAsia="zh-CN"/>
        </w:rPr>
        <w:t>小时，</w:t>
      </w:r>
      <w:r>
        <w:rPr>
          <w:rFonts w:hint="eastAsia" w:ascii="宋体" w:hAnsi="宋体"/>
          <w:sz w:val="24"/>
          <w:highlight w:val="none"/>
        </w:rPr>
        <w:t>应支付</w:t>
      </w:r>
      <w:r>
        <w:rPr>
          <w:rFonts w:hint="eastAsia" w:ascii="宋体" w:hAnsi="宋体"/>
          <w:sz w:val="24"/>
          <w:highlight w:val="none"/>
          <w:u w:val="single"/>
          <w:lang w:val="en-US" w:eastAsia="zh-CN"/>
        </w:rPr>
        <w:t>500</w:t>
      </w:r>
      <w:r>
        <w:rPr>
          <w:rFonts w:hint="eastAsia" w:ascii="宋体" w:hAnsi="宋体"/>
          <w:sz w:val="24"/>
          <w:highlight w:val="none"/>
        </w:rPr>
        <w:t>元违约金</w:t>
      </w:r>
      <w:r>
        <w:rPr>
          <w:rFonts w:hint="eastAsia" w:ascii="宋体" w:hAnsi="宋体" w:cs="宋体"/>
          <w:sz w:val="24"/>
          <w:highlight w:val="none"/>
        </w:rPr>
        <w:t>，</w:t>
      </w:r>
      <w:r>
        <w:rPr>
          <w:rFonts w:hint="eastAsia" w:ascii="宋体" w:hAnsi="宋体" w:cs="宋体"/>
          <w:sz w:val="24"/>
          <w:highlight w:val="none"/>
          <w:lang w:val="en-US" w:eastAsia="zh-CN"/>
        </w:rPr>
        <w:t>且</w:t>
      </w:r>
      <w:r>
        <w:rPr>
          <w:rFonts w:hint="eastAsia" w:ascii="宋体" w:hAnsi="宋体" w:cs="宋体"/>
          <w:sz w:val="24"/>
          <w:highlight w:val="none"/>
          <w:lang w:eastAsia="zh-CN"/>
        </w:rPr>
        <w:t>采购人</w:t>
      </w:r>
      <w:r>
        <w:rPr>
          <w:rFonts w:hint="eastAsia" w:ascii="宋体" w:hAnsi="宋体" w:cs="宋体"/>
          <w:sz w:val="24"/>
          <w:highlight w:val="none"/>
        </w:rPr>
        <w:t>有权另</w:t>
      </w:r>
      <w:r>
        <w:rPr>
          <w:rFonts w:hint="eastAsia" w:ascii="宋体" w:hAnsi="宋体" w:cs="宋体"/>
          <w:sz w:val="24"/>
          <w:highlight w:val="none"/>
          <w:lang w:val="en-US" w:eastAsia="zh-CN"/>
        </w:rPr>
        <w:t>行委托</w:t>
      </w:r>
      <w:r>
        <w:rPr>
          <w:rFonts w:hint="eastAsia" w:ascii="宋体" w:hAnsi="宋体" w:cs="宋体"/>
          <w:sz w:val="24"/>
          <w:highlight w:val="none"/>
        </w:rPr>
        <w:t>第三方</w:t>
      </w:r>
      <w:r>
        <w:rPr>
          <w:rFonts w:hint="eastAsia" w:ascii="宋体" w:hAnsi="宋体" w:cs="宋体"/>
          <w:sz w:val="24"/>
          <w:highlight w:val="none"/>
          <w:lang w:val="en-US" w:eastAsia="zh-CN"/>
        </w:rPr>
        <w:t>组织维修</w:t>
      </w:r>
      <w:r>
        <w:rPr>
          <w:rFonts w:hint="eastAsia" w:ascii="宋体" w:hAnsi="宋体" w:cs="宋体"/>
          <w:sz w:val="24"/>
          <w:highlight w:val="none"/>
        </w:rPr>
        <w:t>，由此产</w:t>
      </w:r>
      <w:r>
        <w:rPr>
          <w:rFonts w:hint="eastAsia" w:ascii="宋体" w:hAnsi="宋体" w:eastAsia="宋体" w:cs="Times New Roman"/>
          <w:sz w:val="24"/>
          <w:highlight w:val="none"/>
        </w:rPr>
        <w:t>生的维修费用由</w:t>
      </w:r>
      <w:r>
        <w:rPr>
          <w:rFonts w:hint="eastAsia" w:ascii="宋体" w:hAnsi="宋体" w:eastAsia="宋体" w:cs="Times New Roman"/>
          <w:sz w:val="24"/>
          <w:highlight w:val="none"/>
          <w:lang w:eastAsia="zh-CN"/>
        </w:rPr>
        <w:t>成交供应商</w:t>
      </w:r>
      <w:r>
        <w:rPr>
          <w:rFonts w:hint="eastAsia" w:ascii="宋体" w:hAnsi="宋体" w:eastAsia="宋体" w:cs="Times New Roman"/>
          <w:sz w:val="24"/>
          <w:highlight w:val="none"/>
        </w:rPr>
        <w:t>承担；</w:t>
      </w:r>
      <w:r>
        <w:rPr>
          <w:rFonts w:hint="eastAsia" w:ascii="宋体" w:hAnsi="宋体" w:eastAsia="宋体" w:cs="Times New Roman"/>
          <w:sz w:val="24"/>
          <w:highlight w:val="none"/>
          <w:lang w:val="en-US" w:eastAsia="zh-CN"/>
        </w:rPr>
        <w:t>如硬件设备经成交供应商</w:t>
      </w:r>
      <w:r>
        <w:rPr>
          <w:rFonts w:hint="eastAsia" w:ascii="宋体" w:hAnsi="宋体" w:cs="Times New Roman"/>
          <w:sz w:val="24"/>
          <w:highlight w:val="none"/>
          <w:u w:val="single"/>
          <w:lang w:val="en-US" w:eastAsia="zh-CN"/>
        </w:rPr>
        <w:t>3</w:t>
      </w:r>
      <w:r>
        <w:rPr>
          <w:rFonts w:hint="eastAsia" w:ascii="宋体" w:hAnsi="宋体" w:eastAsia="宋体" w:cs="Times New Roman"/>
          <w:sz w:val="24"/>
          <w:highlight w:val="none"/>
          <w:lang w:val="en-US" w:eastAsia="zh-CN"/>
        </w:rPr>
        <w:t>次维修仍不能达到约定的标准，采购人有权退货，并要求成交供应商返还已付款项及承担成交金额20%的违约金。</w:t>
      </w:r>
    </w:p>
    <w:p w14:paraId="4FC33C19">
      <w:pPr>
        <w:spacing w:line="360" w:lineRule="auto"/>
        <w:ind w:left="0" w:leftChars="0" w:firstLine="480" w:firstLineChars="20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8.4如因成交供应商维护人员的原因导致患者医疗信息泄露，成交供应商应承担由此引发的一切法律责任和经济赔偿，包括但不限于对患者的赔偿、医院因声誉受损造成的损失等。</w:t>
      </w:r>
    </w:p>
    <w:p w14:paraId="03E169A2">
      <w:pPr>
        <w:spacing w:line="360" w:lineRule="auto"/>
        <w:ind w:firstLine="460" w:firstLineChars="192"/>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w:t>
      </w:r>
      <w:r>
        <w:rPr>
          <w:rFonts w:hint="eastAsia" w:ascii="宋体" w:hAnsi="宋体"/>
          <w:sz w:val="24"/>
          <w:highlight w:val="none"/>
          <w:lang w:val="en-US" w:eastAsia="zh-CN"/>
        </w:rPr>
        <w:t>5询价文件</w:t>
      </w:r>
      <w:r>
        <w:rPr>
          <w:rFonts w:hint="eastAsia" w:ascii="宋体" w:hAnsi="宋体"/>
          <w:sz w:val="24"/>
          <w:highlight w:val="none"/>
        </w:rPr>
        <w:t>约定的违约金无法弥补</w:t>
      </w:r>
      <w:r>
        <w:rPr>
          <w:rFonts w:hint="eastAsia" w:ascii="宋体" w:hAnsi="宋体"/>
          <w:sz w:val="24"/>
          <w:highlight w:val="none"/>
          <w:lang w:eastAsia="zh-CN"/>
        </w:rPr>
        <w:t>采购人</w:t>
      </w:r>
      <w:r>
        <w:rPr>
          <w:rFonts w:hint="eastAsia" w:ascii="宋体" w:hAnsi="宋体"/>
          <w:sz w:val="24"/>
          <w:highlight w:val="none"/>
        </w:rPr>
        <w:t>损失的，</w:t>
      </w:r>
      <w:r>
        <w:rPr>
          <w:rFonts w:hint="eastAsia" w:ascii="宋体" w:hAnsi="宋体"/>
          <w:sz w:val="24"/>
          <w:highlight w:val="none"/>
          <w:lang w:eastAsia="zh-CN"/>
        </w:rPr>
        <w:t>成交供应商</w:t>
      </w:r>
      <w:r>
        <w:rPr>
          <w:rFonts w:hint="eastAsia" w:ascii="宋体" w:hAnsi="宋体"/>
          <w:sz w:val="24"/>
          <w:highlight w:val="none"/>
        </w:rPr>
        <w:t>应继续承担相应的赔偿责任。</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2A52B90E">
      <w:pPr>
        <w:sectPr>
          <w:pgSz w:w="11906" w:h="16838"/>
          <w:pgMar w:top="1418" w:right="1418" w:bottom="1418" w:left="1418" w:header="851" w:footer="992" w:gutter="0"/>
          <w:cols w:space="720" w:num="1"/>
          <w:titlePg/>
          <w:docGrid w:linePitch="312" w:charSpace="0"/>
        </w:sectPr>
      </w:pPr>
    </w:p>
    <w:bookmarkEnd w:id="0"/>
    <w:bookmarkEnd w:id="1"/>
    <w:p w14:paraId="6990CD78">
      <w:pPr>
        <w:rPr>
          <w:rFonts w:ascii="宋体" w:hAnsi="宋体"/>
          <w:b/>
          <w:color w:val="000000"/>
          <w:sz w:val="24"/>
        </w:rPr>
      </w:pPr>
    </w:p>
    <w:p w14:paraId="06AD5BF5"/>
    <w:p w14:paraId="513A0947">
      <w:pPr>
        <w:pStyle w:val="4"/>
        <w:spacing w:before="240" w:after="240"/>
        <w:rPr>
          <w:rFonts w:ascii="宋体" w:hAnsi="宋体"/>
          <w:sz w:val="24"/>
        </w:rPr>
      </w:pPr>
      <w:bookmarkStart w:id="6" w:name="_Toc567390200"/>
      <w:r>
        <w:t>第</w:t>
      </w:r>
      <w:r>
        <w:rPr>
          <w:rFonts w:hint="eastAsia"/>
          <w:lang w:eastAsia="zh-CN"/>
        </w:rPr>
        <w:t>五</w:t>
      </w:r>
      <w:r>
        <w:t>章</w:t>
      </w:r>
      <w:r>
        <w:rPr>
          <w:rFonts w:hint="eastAsia"/>
        </w:rPr>
        <w:t xml:space="preserve">  响应</w:t>
      </w:r>
      <w:r>
        <w:t>文件格式</w:t>
      </w:r>
      <w:bookmarkEnd w:id="6"/>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007A5D84">
      <w:pPr>
        <w:sectPr>
          <w:pgSz w:w="11906" w:h="16838"/>
          <w:pgMar w:top="1418" w:right="1418" w:bottom="1418" w:left="1418" w:header="851" w:footer="992" w:gutter="0"/>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3F729A64">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22A3CC5A">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2F8FFA5A">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3"/>
        <w:tblW w:w="47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940"/>
        <w:gridCol w:w="950"/>
        <w:gridCol w:w="1072"/>
        <w:gridCol w:w="1631"/>
        <w:gridCol w:w="2412"/>
      </w:tblGrid>
      <w:tr w14:paraId="22FB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pacing w:line="360" w:lineRule="auto"/>
              <w:rPr>
                <w:rFonts w:hint="eastAsia" w:ascii="宋体" w:hAnsi="宋体" w:eastAsia="宋体" w:cs="宋体"/>
                <w:sz w:val="24"/>
              </w:rPr>
            </w:pPr>
            <w:r>
              <w:rPr>
                <w:rFonts w:hint="eastAsia" w:ascii="宋体" w:hAnsi="宋体" w:eastAsia="宋体" w:cs="宋体"/>
                <w:sz w:val="24"/>
                <w:lang w:val="en-US" w:eastAsia="zh-CN"/>
              </w:rPr>
              <w:t>序号</w:t>
            </w:r>
          </w:p>
        </w:tc>
        <w:tc>
          <w:tcPr>
            <w:tcW w:w="1099" w:type="pct"/>
            <w:tcBorders>
              <w:top w:val="single" w:color="000000" w:sz="8" w:space="0"/>
              <w:left w:val="nil"/>
              <w:bottom w:val="single" w:color="000000" w:sz="8" w:space="0"/>
              <w:right w:val="single" w:color="000000" w:sz="8" w:space="0"/>
            </w:tcBorders>
            <w:shd w:val="clear" w:color="auto" w:fill="auto"/>
            <w:vAlign w:val="center"/>
          </w:tcPr>
          <w:p w14:paraId="7C7DE067">
            <w:pPr>
              <w:spacing w:line="360" w:lineRule="auto"/>
              <w:rPr>
                <w:rFonts w:hint="eastAsia" w:ascii="宋体" w:hAnsi="宋体" w:eastAsia="宋体" w:cs="宋体"/>
                <w:sz w:val="24"/>
              </w:rPr>
            </w:pPr>
            <w:r>
              <w:rPr>
                <w:rFonts w:hint="eastAsia" w:ascii="宋体" w:hAnsi="宋体" w:eastAsia="宋体" w:cs="宋体"/>
                <w:sz w:val="24"/>
                <w:lang w:val="en-US" w:eastAsia="zh-CN"/>
              </w:rPr>
              <w:t>项目名称</w:t>
            </w:r>
          </w:p>
        </w:tc>
        <w:tc>
          <w:tcPr>
            <w:tcW w:w="538" w:type="pct"/>
            <w:tcBorders>
              <w:top w:val="single" w:color="000000" w:sz="8" w:space="0"/>
              <w:left w:val="nil"/>
              <w:bottom w:val="single" w:color="000000" w:sz="8" w:space="0"/>
              <w:right w:val="single" w:color="000000" w:sz="8" w:space="0"/>
            </w:tcBorders>
            <w:shd w:val="clear" w:color="auto" w:fill="auto"/>
            <w:vAlign w:val="center"/>
          </w:tcPr>
          <w:p w14:paraId="51E8CEE0">
            <w:pPr>
              <w:spacing w:line="360" w:lineRule="auto"/>
              <w:rPr>
                <w:rFonts w:hint="eastAsia" w:ascii="宋体" w:hAnsi="宋体" w:eastAsia="宋体" w:cs="宋体"/>
                <w:sz w:val="24"/>
              </w:rPr>
            </w:pPr>
            <w:r>
              <w:rPr>
                <w:rFonts w:hint="eastAsia" w:ascii="宋体" w:hAnsi="宋体" w:eastAsia="宋体" w:cs="宋体"/>
                <w:sz w:val="24"/>
                <w:lang w:val="en-US" w:eastAsia="zh-CN"/>
              </w:rPr>
              <w:t>数量</w:t>
            </w:r>
          </w:p>
        </w:tc>
        <w:tc>
          <w:tcPr>
            <w:tcW w:w="607" w:type="pct"/>
            <w:tcBorders>
              <w:top w:val="single" w:color="000000" w:sz="8" w:space="0"/>
              <w:left w:val="nil"/>
              <w:bottom w:val="single" w:color="000000" w:sz="8" w:space="0"/>
              <w:right w:val="single" w:color="000000" w:sz="8" w:space="0"/>
            </w:tcBorders>
            <w:shd w:val="clear" w:color="auto" w:fill="auto"/>
            <w:vAlign w:val="center"/>
          </w:tcPr>
          <w:p w14:paraId="568BC933">
            <w:pPr>
              <w:spacing w:line="360" w:lineRule="auto"/>
              <w:rPr>
                <w:rFonts w:hint="eastAsia" w:ascii="宋体" w:hAnsi="宋体" w:eastAsia="宋体" w:cs="宋体"/>
                <w:sz w:val="24"/>
                <w:lang w:eastAsia="zh-CN"/>
              </w:rPr>
            </w:pPr>
            <w:r>
              <w:rPr>
                <w:rFonts w:hint="eastAsia" w:ascii="宋体" w:hAnsi="宋体" w:eastAsia="宋体" w:cs="宋体"/>
                <w:sz w:val="24"/>
                <w:lang w:eastAsia="zh-CN"/>
              </w:rPr>
              <w:t>单位</w:t>
            </w:r>
          </w:p>
        </w:tc>
        <w:tc>
          <w:tcPr>
            <w:tcW w:w="924" w:type="pct"/>
            <w:tcBorders>
              <w:top w:val="single" w:color="000000" w:sz="8" w:space="0"/>
              <w:left w:val="nil"/>
              <w:bottom w:val="single" w:color="000000" w:sz="8" w:space="0"/>
              <w:right w:val="single" w:color="000000" w:sz="8" w:space="0"/>
            </w:tcBorders>
            <w:shd w:val="clear" w:color="auto" w:fill="auto"/>
            <w:vAlign w:val="center"/>
          </w:tcPr>
          <w:p w14:paraId="2A4F143E">
            <w:pPr>
              <w:spacing w:line="360" w:lineRule="auto"/>
              <w:rPr>
                <w:rFonts w:hint="eastAsia" w:ascii="宋体" w:hAnsi="宋体" w:eastAsia="宋体" w:cs="宋体"/>
                <w:sz w:val="24"/>
                <w:lang w:val="en-US" w:eastAsia="zh-CN"/>
              </w:rPr>
            </w:pPr>
            <w:r>
              <w:rPr>
                <w:rFonts w:hint="eastAsia" w:ascii="宋体" w:hAnsi="宋体" w:eastAsia="宋体" w:cs="宋体"/>
                <w:sz w:val="24"/>
              </w:rPr>
              <w:t>单价报价</w:t>
            </w:r>
            <w:r>
              <w:rPr>
                <w:rFonts w:hint="eastAsia" w:ascii="宋体" w:hAnsi="宋体" w:eastAsia="宋体" w:cs="宋体"/>
                <w:sz w:val="24"/>
              </w:rPr>
              <w:br w:type="textWrapping"/>
            </w:r>
            <w:r>
              <w:rPr>
                <w:rFonts w:hint="eastAsia" w:ascii="宋体" w:hAnsi="宋体" w:eastAsia="宋体" w:cs="宋体"/>
                <w:sz w:val="24"/>
              </w:rPr>
              <w:t>（元）</w:t>
            </w:r>
          </w:p>
        </w:tc>
        <w:tc>
          <w:tcPr>
            <w:tcW w:w="1366" w:type="pct"/>
            <w:tcBorders>
              <w:top w:val="single" w:color="000000" w:sz="8" w:space="0"/>
              <w:left w:val="nil"/>
              <w:bottom w:val="single" w:color="000000" w:sz="8" w:space="0"/>
              <w:right w:val="single" w:color="000000" w:sz="8" w:space="0"/>
            </w:tcBorders>
            <w:shd w:val="clear" w:color="auto" w:fill="auto"/>
            <w:vAlign w:val="center"/>
          </w:tcPr>
          <w:p w14:paraId="38D38C8D">
            <w:pPr>
              <w:spacing w:line="360" w:lineRule="auto"/>
              <w:rPr>
                <w:rFonts w:hint="eastAsia" w:ascii="宋体" w:hAnsi="宋体" w:eastAsia="宋体" w:cs="宋体"/>
                <w:sz w:val="24"/>
                <w:lang w:val="en-US" w:eastAsia="zh-CN"/>
              </w:rPr>
            </w:pPr>
            <w:r>
              <w:rPr>
                <w:rFonts w:hint="eastAsia" w:ascii="宋体" w:hAnsi="宋体" w:eastAsia="宋体" w:cs="宋体"/>
                <w:sz w:val="24"/>
              </w:rPr>
              <w:t>备注</w:t>
            </w:r>
          </w:p>
        </w:tc>
      </w:tr>
      <w:tr w14:paraId="2AD5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78E6467">
            <w:pPr>
              <w:spacing w:line="360" w:lineRule="auto"/>
              <w:rPr>
                <w:rFonts w:hint="eastAsia" w:ascii="宋体" w:hAnsi="宋体" w:eastAsia="宋体" w:cs="宋体"/>
                <w:sz w:val="24"/>
              </w:rPr>
            </w:pPr>
            <w:r>
              <w:rPr>
                <w:rFonts w:hint="eastAsia" w:ascii="宋体" w:hAnsi="宋体" w:eastAsia="宋体" w:cs="宋体"/>
                <w:sz w:val="24"/>
                <w:lang w:val="en-US" w:eastAsia="zh-CN"/>
              </w:rPr>
              <w:t>1</w:t>
            </w:r>
          </w:p>
        </w:tc>
        <w:tc>
          <w:tcPr>
            <w:tcW w:w="1099" w:type="pct"/>
            <w:tcBorders>
              <w:top w:val="nil"/>
              <w:left w:val="nil"/>
              <w:bottom w:val="single" w:color="000000" w:sz="8" w:space="0"/>
              <w:right w:val="single" w:color="000000" w:sz="8" w:space="0"/>
            </w:tcBorders>
            <w:shd w:val="clear" w:color="auto" w:fill="auto"/>
            <w:vAlign w:val="center"/>
          </w:tcPr>
          <w:p w14:paraId="073C8A0E">
            <w:pPr>
              <w:spacing w:line="360" w:lineRule="auto"/>
              <w:rPr>
                <w:rFonts w:hint="eastAsia" w:ascii="宋体" w:hAnsi="宋体" w:eastAsia="宋体" w:cs="宋体"/>
                <w:sz w:val="24"/>
              </w:rPr>
            </w:pPr>
            <w:r>
              <w:rPr>
                <w:rFonts w:hint="eastAsia" w:ascii="宋体" w:hAnsi="宋体" w:eastAsia="宋体" w:cs="宋体"/>
                <w:kern w:val="0"/>
                <w:sz w:val="24"/>
                <w:lang w:eastAsia="zh-CN"/>
              </w:rPr>
              <w:t>多功能声级计</w:t>
            </w:r>
          </w:p>
        </w:tc>
        <w:tc>
          <w:tcPr>
            <w:tcW w:w="538" w:type="pct"/>
            <w:tcBorders>
              <w:top w:val="nil"/>
              <w:left w:val="nil"/>
              <w:bottom w:val="single" w:color="000000" w:sz="8" w:space="0"/>
              <w:right w:val="single" w:color="000000" w:sz="8" w:space="0"/>
            </w:tcBorders>
            <w:shd w:val="clear" w:color="auto" w:fill="auto"/>
            <w:vAlign w:val="center"/>
          </w:tcPr>
          <w:p w14:paraId="3C9CD64C">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7B88725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台</w:t>
            </w:r>
          </w:p>
        </w:tc>
        <w:tc>
          <w:tcPr>
            <w:tcW w:w="924" w:type="pct"/>
            <w:tcBorders>
              <w:top w:val="nil"/>
              <w:left w:val="nil"/>
              <w:bottom w:val="single" w:color="000000" w:sz="8" w:space="0"/>
              <w:right w:val="single" w:color="000000" w:sz="8" w:space="0"/>
            </w:tcBorders>
            <w:shd w:val="clear" w:color="auto" w:fill="auto"/>
            <w:vAlign w:val="center"/>
          </w:tcPr>
          <w:p w14:paraId="13AD05CC">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7FC509B7">
            <w:pPr>
              <w:spacing w:line="360" w:lineRule="auto"/>
              <w:rPr>
                <w:rFonts w:hint="eastAsia" w:ascii="宋体" w:hAnsi="宋体" w:eastAsia="宋体" w:cs="宋体"/>
                <w:sz w:val="24"/>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spacing w:before="50" w:after="50" w:line="360" w:lineRule="auto"/>
        <w:jc w:val="left"/>
        <w:rPr>
          <w:rFonts w:hint="default" w:ascii="宋体" w:hAnsi="宋体" w:cs="宋体"/>
          <w:kern w:val="0"/>
          <w:sz w:val="24"/>
          <w:lang w:val="en-US" w:eastAsia="zh-CN"/>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082777B6">
      <w:pPr>
        <w:widowControl/>
        <w:spacing w:line="360" w:lineRule="auto"/>
        <w:rPr>
          <w:rFonts w:ascii="黑体" w:hAnsi="黑体" w:eastAsia="黑体" w:cs="宋体"/>
          <w:b/>
          <w:bCs/>
          <w:kern w:val="0"/>
          <w:sz w:val="28"/>
          <w:szCs w:val="18"/>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35273F9A">
      <w:pPr>
        <w:widowControl/>
        <w:spacing w:line="360" w:lineRule="auto"/>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1D6274D0">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67C343E3">
      <w:pPr>
        <w:sectPr>
          <w:pgSz w:w="11906" w:h="16838"/>
          <w:pgMar w:top="1418" w:right="1418" w:bottom="1418" w:left="1418" w:header="851" w:footer="992" w:gutter="0"/>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4"/>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6745E518">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437953B5">
      <w:pPr>
        <w:sectPr>
          <w:pgSz w:w="11906" w:h="16838"/>
          <w:pgMar w:top="1418" w:right="1418" w:bottom="1418" w:left="1418" w:header="851" w:footer="992" w:gutter="0"/>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1AA79D3F">
      <w:pPr>
        <w:sectPr>
          <w:pgSz w:w="11906" w:h="16838"/>
          <w:pgMar w:top="1418" w:right="1418" w:bottom="1418" w:left="1418" w:header="851" w:footer="992" w:gutter="0"/>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6"/>
    <w:family w:val="swiss"/>
    <w:pitch w:val="default"/>
    <w:sig w:usb0="00000000" w:usb1="00000000" w:usb2="0000007F" w:usb3="00000000" w:csb0="203F01FF" w:csb1="DFFF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8"/>
      <w:framePr w:wrap="around" w:vAnchor="text" w:hAnchor="margin" w:xAlign="right" w:y="1"/>
      <w:rPr>
        <w:rStyle w:val="47"/>
      </w:rPr>
    </w:pPr>
    <w:r>
      <w:fldChar w:fldCharType="begin"/>
    </w:r>
    <w:r>
      <w:rPr>
        <w:rStyle w:val="47"/>
      </w:rPr>
      <w:instrText xml:space="preserve">PAGE  </w:instrText>
    </w:r>
    <w:r>
      <w:fldChar w:fldCharType="end"/>
    </w:r>
  </w:p>
  <w:p w14:paraId="4FE26F0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8"/>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D657CB0"/>
    <w:rsid w:val="2FB330EF"/>
    <w:rsid w:val="3190024E"/>
    <w:rsid w:val="35D24B6F"/>
    <w:rsid w:val="39592B25"/>
    <w:rsid w:val="3F5BC0E9"/>
    <w:rsid w:val="3FDE40E0"/>
    <w:rsid w:val="3FFBD0A2"/>
    <w:rsid w:val="4BFC308A"/>
    <w:rsid w:val="4F5166AD"/>
    <w:rsid w:val="5A3A2B60"/>
    <w:rsid w:val="5BF55E28"/>
    <w:rsid w:val="625F3DEE"/>
    <w:rsid w:val="63BF57D7"/>
    <w:rsid w:val="66E616AF"/>
    <w:rsid w:val="68227A13"/>
    <w:rsid w:val="6BED7C57"/>
    <w:rsid w:val="7AD52BAB"/>
    <w:rsid w:val="7EDFE946"/>
    <w:rsid w:val="7F6F6352"/>
    <w:rsid w:val="7F72641A"/>
    <w:rsid w:val="9FFAD24A"/>
    <w:rsid w:val="BDFFB87F"/>
    <w:rsid w:val="D3E7BB79"/>
    <w:rsid w:val="DAFF4C54"/>
    <w:rsid w:val="DF1F2217"/>
    <w:rsid w:val="E77C4C75"/>
    <w:rsid w:val="EB9B510C"/>
    <w:rsid w:val="ED1DACF1"/>
    <w:rsid w:val="EEF6A08E"/>
    <w:rsid w:val="EFFDBDFE"/>
    <w:rsid w:val="F5DE9B86"/>
    <w:rsid w:val="F69FA830"/>
    <w:rsid w:val="FBEF5036"/>
    <w:rsid w:val="FE5F2BCE"/>
    <w:rsid w:val="FE7F14DE"/>
    <w:rsid w:val="FEBFA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qFormat/>
    <w:uiPriority w:val="9"/>
    <w:pPr>
      <w:keepNext/>
      <w:keepLines/>
      <w:spacing w:beforeLines="100" w:afterLines="100"/>
      <w:jc w:val="center"/>
      <w:outlineLvl w:val="0"/>
    </w:pPr>
    <w:rPr>
      <w:rFonts w:eastAsia="黑体"/>
      <w:b/>
      <w:bCs/>
      <w:kern w:val="0"/>
      <w:sz w:val="32"/>
      <w:szCs w:val="44"/>
    </w:rPr>
  </w:style>
  <w:style w:type="paragraph" w:styleId="5">
    <w:name w:val="heading 2"/>
    <w:basedOn w:val="1"/>
    <w:next w:val="1"/>
    <w:link w:val="56"/>
    <w:qFormat/>
    <w:uiPriority w:val="9"/>
    <w:pPr>
      <w:keepNext/>
      <w:keepLines/>
      <w:spacing w:beforeLines="100" w:afterLines="100"/>
      <w:jc w:val="center"/>
      <w:outlineLvl w:val="1"/>
    </w:pPr>
    <w:rPr>
      <w:rFonts w:ascii="Arial" w:hAnsi="Arial" w:eastAsia="黑体"/>
      <w:b/>
      <w:bCs/>
      <w:sz w:val="30"/>
      <w:szCs w:val="32"/>
    </w:rPr>
  </w:style>
  <w:style w:type="paragraph" w:styleId="6">
    <w:name w:val="heading 3"/>
    <w:basedOn w:val="1"/>
    <w:next w:val="1"/>
    <w:link w:val="63"/>
    <w:qFormat/>
    <w:uiPriority w:val="9"/>
    <w:pPr>
      <w:keepNext/>
      <w:keepLines/>
      <w:spacing w:before="260" w:after="260" w:line="416" w:lineRule="auto"/>
      <w:outlineLvl w:val="2"/>
    </w:pPr>
    <w:rPr>
      <w:rFonts w:eastAsia="黑体"/>
      <w:b/>
      <w:bCs/>
      <w:sz w:val="28"/>
      <w:szCs w:val="32"/>
    </w:rPr>
  </w:style>
  <w:style w:type="paragraph" w:styleId="7">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8">
    <w:name w:val="heading 5"/>
    <w:basedOn w:val="1"/>
    <w:next w:val="1"/>
    <w:qFormat/>
    <w:uiPriority w:val="0"/>
    <w:pPr>
      <w:keepNext/>
      <w:jc w:val="center"/>
      <w:outlineLvl w:val="4"/>
    </w:pPr>
    <w:rPr>
      <w:rFonts w:ascii="Arial" w:hAnsi="Arial"/>
      <w:sz w:val="28"/>
    </w:rPr>
  </w:style>
  <w:style w:type="paragraph" w:styleId="9">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10">
    <w:name w:val="heading 7"/>
    <w:basedOn w:val="1"/>
    <w:next w:val="11"/>
    <w:qFormat/>
    <w:uiPriority w:val="0"/>
    <w:pPr>
      <w:keepNext/>
      <w:keepLines/>
      <w:spacing w:before="240" w:after="64" w:line="320" w:lineRule="auto"/>
      <w:outlineLvl w:val="6"/>
    </w:pPr>
    <w:rPr>
      <w:b/>
      <w:sz w:val="24"/>
    </w:rPr>
  </w:style>
  <w:style w:type="paragraph" w:styleId="12">
    <w:name w:val="heading 8"/>
    <w:basedOn w:val="1"/>
    <w:next w:val="1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qFormat/>
    <w:uiPriority w:val="0"/>
    <w:pPr>
      <w:keepNext/>
      <w:keepLines/>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style>
  <w:style w:type="paragraph" w:styleId="3">
    <w:name w:val="Body Text"/>
    <w:basedOn w:val="1"/>
    <w:qFormat/>
    <w:uiPriority w:val="0"/>
    <w:rPr>
      <w:color w:val="FF0000"/>
    </w:rPr>
  </w:style>
  <w:style w:type="paragraph" w:styleId="11">
    <w:name w:val="Normal Indent"/>
    <w:basedOn w:val="1"/>
    <w:link w:val="64"/>
    <w:qFormat/>
    <w:uiPriority w:val="0"/>
    <w:pPr>
      <w:widowControl/>
      <w:ind w:left="425"/>
      <w:jc w:val="left"/>
    </w:pPr>
    <w:rPr>
      <w:kern w:val="0"/>
      <w:sz w:val="20"/>
      <w:szCs w:val="20"/>
      <w:lang w:eastAsia="en-US"/>
    </w:rPr>
  </w:style>
  <w:style w:type="paragraph" w:styleId="14">
    <w:name w:val="toc 7"/>
    <w:basedOn w:val="1"/>
    <w:next w:val="1"/>
    <w:qFormat/>
    <w:uiPriority w:val="0"/>
    <w:pPr>
      <w:ind w:left="1260"/>
      <w:jc w:val="left"/>
    </w:pPr>
    <w:rPr>
      <w:sz w:val="18"/>
      <w:szCs w:val="18"/>
    </w:rPr>
  </w:style>
  <w:style w:type="paragraph" w:styleId="15">
    <w:name w:val="Document Map"/>
    <w:basedOn w:val="1"/>
    <w:qFormat/>
    <w:uiPriority w:val="0"/>
    <w:pPr>
      <w:shd w:val="clear" w:color="auto" w:fill="000080"/>
    </w:pPr>
  </w:style>
  <w:style w:type="paragraph" w:styleId="16">
    <w:name w:val="annotation text"/>
    <w:basedOn w:val="1"/>
    <w:link w:val="59"/>
    <w:qFormat/>
    <w:uiPriority w:val="99"/>
    <w:pPr>
      <w:jc w:val="left"/>
    </w:pPr>
  </w:style>
  <w:style w:type="paragraph" w:styleId="17">
    <w:name w:val="Body Text 3"/>
    <w:basedOn w:val="1"/>
    <w:qFormat/>
    <w:uiPriority w:val="0"/>
    <w:rPr>
      <w:rFonts w:ascii="宋体" w:hAnsi="宋体"/>
      <w:color w:val="000000"/>
      <w:sz w:val="28"/>
    </w:rPr>
  </w:style>
  <w:style w:type="paragraph" w:styleId="18">
    <w:name w:val="Body Text Indent"/>
    <w:basedOn w:val="1"/>
    <w:next w:val="19"/>
    <w:qFormat/>
    <w:uiPriority w:val="0"/>
    <w:pPr>
      <w:ind w:left="-4" w:leftChars="-2" w:firstLine="560" w:firstLineChars="200"/>
    </w:pPr>
    <w:rPr>
      <w:rFonts w:ascii="宋体"/>
      <w:sz w:val="28"/>
    </w:rPr>
  </w:style>
  <w:style w:type="paragraph" w:styleId="19">
    <w:name w:val="envelope return"/>
    <w:basedOn w:val="1"/>
    <w:qFormat/>
    <w:uiPriority w:val="0"/>
    <w:pPr>
      <w:snapToGrid w:val="0"/>
    </w:pPr>
    <w:rPr>
      <w:rFonts w:ascii="Arial" w:hAnsi="Arial"/>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spacing w:line="360" w:lineRule="auto"/>
      <w:ind w:left="420"/>
      <w:jc w:val="left"/>
    </w:pPr>
    <w:rPr>
      <w:iCs/>
      <w:sz w:val="24"/>
      <w:szCs w:val="20"/>
    </w:rPr>
  </w:style>
  <w:style w:type="paragraph" w:styleId="22">
    <w:name w:val="Plain Text"/>
    <w:basedOn w:val="1"/>
    <w:link w:val="58"/>
    <w:qFormat/>
    <w:uiPriority w:val="0"/>
    <w:rPr>
      <w:rFonts w:ascii="宋体" w:hAnsi="Courier New" w:cs="Courier New"/>
      <w:szCs w:val="21"/>
    </w:rPr>
  </w:style>
  <w:style w:type="paragraph" w:styleId="23">
    <w:name w:val="toc 8"/>
    <w:basedOn w:val="1"/>
    <w:next w:val="1"/>
    <w:qFormat/>
    <w:uiPriority w:val="0"/>
    <w:pPr>
      <w:ind w:left="1470"/>
      <w:jc w:val="left"/>
    </w:pPr>
    <w:rPr>
      <w:sz w:val="18"/>
      <w:szCs w:val="18"/>
    </w:rPr>
  </w:style>
  <w:style w:type="paragraph" w:styleId="24">
    <w:name w:val="index 3"/>
    <w:basedOn w:val="1"/>
    <w:next w:val="1"/>
    <w:qFormat/>
    <w:uiPriority w:val="0"/>
    <w:pPr>
      <w:tabs>
        <w:tab w:val="left" w:pos="1756"/>
      </w:tabs>
      <w:ind w:left="1756" w:hanging="425"/>
    </w:pPr>
    <w:rPr>
      <w:sz w:val="24"/>
    </w:rPr>
  </w:style>
  <w:style w:type="paragraph" w:styleId="25">
    <w:name w:val="Date"/>
    <w:basedOn w:val="1"/>
    <w:next w:val="1"/>
    <w:link w:val="57"/>
    <w:qFormat/>
    <w:uiPriority w:val="0"/>
    <w:rPr>
      <w:sz w:val="28"/>
      <w:szCs w:val="20"/>
    </w:rPr>
  </w:style>
  <w:style w:type="paragraph" w:styleId="26">
    <w:name w:val="Body Text Indent 2"/>
    <w:basedOn w:val="1"/>
    <w:link w:val="101"/>
    <w:qFormat/>
    <w:uiPriority w:val="0"/>
    <w:pPr>
      <w:tabs>
        <w:tab w:val="left" w:pos="1140"/>
      </w:tabs>
      <w:ind w:firstLine="560" w:firstLineChars="200"/>
    </w:pPr>
    <w:rPr>
      <w:rFonts w:ascii="Arial" w:hAnsi="Arial"/>
      <w:color w:val="000000"/>
      <w:sz w:val="28"/>
    </w:rPr>
  </w:style>
  <w:style w:type="paragraph" w:styleId="27">
    <w:name w:val="Balloon Text"/>
    <w:basedOn w:val="1"/>
    <w:qFormat/>
    <w:uiPriority w:val="0"/>
    <w:rPr>
      <w:sz w:val="18"/>
      <w:szCs w:val="18"/>
    </w:rPr>
  </w:style>
  <w:style w:type="paragraph" w:styleId="28">
    <w:name w:val="footer"/>
    <w:basedOn w:val="1"/>
    <w:link w:val="103"/>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line="360" w:lineRule="auto"/>
      <w:jc w:val="left"/>
    </w:pPr>
    <w:rPr>
      <w:b/>
      <w:bCs/>
      <w:caps/>
      <w:sz w:val="24"/>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18"/>
    </w:rPr>
  </w:style>
  <w:style w:type="paragraph" w:styleId="34">
    <w:name w:val="toc 6"/>
    <w:basedOn w:val="1"/>
    <w:next w:val="1"/>
    <w:qFormat/>
    <w:uiPriority w:val="0"/>
    <w:pPr>
      <w:ind w:left="1050"/>
      <w:jc w:val="left"/>
    </w:pPr>
    <w:rPr>
      <w:sz w:val="18"/>
      <w:szCs w:val="18"/>
    </w:rPr>
  </w:style>
  <w:style w:type="paragraph" w:styleId="35">
    <w:name w:val="Body Text Indent 3"/>
    <w:basedOn w:val="1"/>
    <w:qFormat/>
    <w:uiPriority w:val="0"/>
    <w:pPr>
      <w:ind w:left="360" w:firstLine="480"/>
    </w:pPr>
    <w:rPr>
      <w:sz w:val="24"/>
      <w:szCs w:val="20"/>
    </w:rPr>
  </w:style>
  <w:style w:type="paragraph" w:styleId="36">
    <w:name w:val="toc 2"/>
    <w:basedOn w:val="1"/>
    <w:next w:val="1"/>
    <w:qFormat/>
    <w:uiPriority w:val="39"/>
    <w:pPr>
      <w:spacing w:line="360" w:lineRule="auto"/>
      <w:ind w:left="210"/>
      <w:jc w:val="left"/>
    </w:pPr>
    <w:rPr>
      <w:smallCaps/>
      <w:sz w:val="24"/>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rPr>
      <w:rFonts w:ascii="Arial" w:hAnsi="Arial"/>
      <w:b/>
      <w:bCs/>
      <w:sz w:val="28"/>
    </w:rPr>
  </w:style>
  <w:style w:type="paragraph" w:styleId="39">
    <w:name w:val="Normal (Web)"/>
    <w:basedOn w:val="1"/>
    <w:qFormat/>
    <w:uiPriority w:val="99"/>
    <w:pPr>
      <w:spacing w:line="300" w:lineRule="auto"/>
    </w:pPr>
    <w:rPr>
      <w:sz w:val="24"/>
    </w:rPr>
  </w:style>
  <w:style w:type="paragraph" w:styleId="40">
    <w:name w:val="annotation subject"/>
    <w:basedOn w:val="16"/>
    <w:next w:val="16"/>
    <w:link w:val="105"/>
    <w:qFormat/>
    <w:uiPriority w:val="99"/>
    <w:rPr>
      <w:b/>
      <w:bCs/>
    </w:rPr>
  </w:style>
  <w:style w:type="paragraph" w:styleId="41">
    <w:name w:val="Body Text First Indent"/>
    <w:basedOn w:val="1"/>
    <w:next w:val="1"/>
    <w:qFormat/>
    <w:uiPriority w:val="99"/>
    <w:pPr>
      <w:spacing w:after="120" w:line="275" w:lineRule="atLeast"/>
      <w:ind w:firstLine="420"/>
      <w:textAlignment w:val="baseline"/>
    </w:pPr>
  </w:style>
  <w:style w:type="paragraph" w:styleId="42">
    <w:name w:val="Body Text First Indent 2"/>
    <w:basedOn w:val="18"/>
    <w:next w:val="1"/>
    <w:qFormat/>
    <w:uiPriority w:val="0"/>
    <w:pPr>
      <w:ind w:firstLine="420"/>
    </w:pPr>
    <w:rPr>
      <w:rFonts w:ascii="Times New Roman"/>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99"/>
    <w:rPr>
      <w:color w:val="800080"/>
      <w:u w:val="single"/>
    </w:rPr>
  </w:style>
  <w:style w:type="character" w:styleId="49">
    <w:name w:val="Emphasis"/>
    <w:basedOn w:val="45"/>
    <w:qFormat/>
    <w:uiPriority w:val="20"/>
    <w:rPr>
      <w:i/>
      <w:iCs/>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footnote reference"/>
    <w:qFormat/>
    <w:uiPriority w:val="0"/>
    <w:rPr>
      <w:vertAlign w:val="superscript"/>
    </w:rPr>
  </w:style>
  <w:style w:type="character" w:customStyle="1" w:styleId="53">
    <w:name w:val="title21"/>
    <w:qFormat/>
    <w:uiPriority w:val="0"/>
    <w:rPr>
      <w:b/>
      <w:bCs/>
      <w:color w:val="000000"/>
      <w:sz w:val="20"/>
      <w:szCs w:val="20"/>
      <w:u w:val="none"/>
    </w:rPr>
  </w:style>
  <w:style w:type="character" w:customStyle="1" w:styleId="54">
    <w:name w:val="Texte Char"/>
    <w:qFormat/>
    <w:uiPriority w:val="0"/>
    <w:rPr>
      <w:rFonts w:ascii="宋体" w:hAnsi="Courier New" w:eastAsia="宋体"/>
      <w:kern w:val="2"/>
      <w:sz w:val="21"/>
      <w:szCs w:val="21"/>
      <w:lang w:val="en-US" w:eastAsia="zh-CN" w:bidi="ar-SA"/>
    </w:rPr>
  </w:style>
  <w:style w:type="character" w:customStyle="1" w:styleId="55">
    <w:name w:val="content1"/>
    <w:qFormat/>
    <w:uiPriority w:val="0"/>
    <w:rPr>
      <w:sz w:val="18"/>
      <w:szCs w:val="18"/>
    </w:rPr>
  </w:style>
  <w:style w:type="character" w:customStyle="1" w:styleId="56">
    <w:name w:val="标题 2 Char"/>
    <w:link w:val="5"/>
    <w:qFormat/>
    <w:uiPriority w:val="9"/>
    <w:rPr>
      <w:rFonts w:ascii="Arial" w:hAnsi="Arial" w:eastAsia="黑体"/>
      <w:b/>
      <w:bCs/>
      <w:kern w:val="2"/>
      <w:sz w:val="30"/>
      <w:szCs w:val="32"/>
    </w:rPr>
  </w:style>
  <w:style w:type="character" w:customStyle="1" w:styleId="57">
    <w:name w:val="日期 Char"/>
    <w:link w:val="25"/>
    <w:qFormat/>
    <w:uiPriority w:val="0"/>
    <w:rPr>
      <w:rFonts w:eastAsia="宋体"/>
      <w:kern w:val="2"/>
      <w:sz w:val="28"/>
      <w:lang w:val="en-US" w:eastAsia="zh-CN" w:bidi="ar-SA"/>
    </w:rPr>
  </w:style>
  <w:style w:type="character" w:customStyle="1" w:styleId="58">
    <w:name w:val="纯文本 Char1"/>
    <w:link w:val="22"/>
    <w:qFormat/>
    <w:uiPriority w:val="0"/>
    <w:rPr>
      <w:rFonts w:ascii="宋体" w:hAnsi="Courier New" w:eastAsia="宋体" w:cs="Courier New"/>
      <w:kern w:val="2"/>
      <w:sz w:val="21"/>
      <w:szCs w:val="21"/>
      <w:lang w:val="en-US" w:eastAsia="zh-CN" w:bidi="ar-SA"/>
    </w:rPr>
  </w:style>
  <w:style w:type="character" w:customStyle="1" w:styleId="59">
    <w:name w:val="批注文字 Char"/>
    <w:link w:val="16"/>
    <w:qFormat/>
    <w:uiPriority w:val="99"/>
    <w:rPr>
      <w:rFonts w:eastAsia="宋体"/>
      <w:kern w:val="2"/>
      <w:sz w:val="21"/>
      <w:szCs w:val="24"/>
      <w:lang w:val="en-US" w:eastAsia="zh-CN" w:bidi="ar-SA"/>
    </w:rPr>
  </w:style>
  <w:style w:type="character" w:customStyle="1" w:styleId="60">
    <w:name w:val="font1"/>
    <w:basedOn w:val="45"/>
    <w:qFormat/>
    <w:uiPriority w:val="0"/>
  </w:style>
  <w:style w:type="character" w:customStyle="1" w:styleId="61">
    <w:name w:val="标题 1 Char"/>
    <w:link w:val="4"/>
    <w:qFormat/>
    <w:uiPriority w:val="9"/>
    <w:rPr>
      <w:rFonts w:eastAsia="黑体"/>
      <w:b/>
      <w:bCs/>
      <w:sz w:val="32"/>
      <w:szCs w:val="44"/>
    </w:rPr>
  </w:style>
  <w:style w:type="character" w:customStyle="1" w:styleId="62">
    <w:name w:val="Char Char7"/>
    <w:qFormat/>
    <w:uiPriority w:val="0"/>
    <w:rPr>
      <w:rFonts w:ascii="Arial" w:hAnsi="Arial" w:eastAsia="黑体"/>
      <w:b/>
      <w:bCs/>
      <w:kern w:val="2"/>
      <w:sz w:val="30"/>
      <w:szCs w:val="32"/>
      <w:lang w:val="en-US" w:eastAsia="zh-CN" w:bidi="ar-SA"/>
    </w:rPr>
  </w:style>
  <w:style w:type="character" w:customStyle="1" w:styleId="63">
    <w:name w:val="标题 3 Char"/>
    <w:link w:val="6"/>
    <w:qFormat/>
    <w:uiPriority w:val="9"/>
    <w:rPr>
      <w:rFonts w:eastAsia="黑体"/>
      <w:b/>
      <w:bCs/>
      <w:kern w:val="2"/>
      <w:sz w:val="28"/>
      <w:szCs w:val="32"/>
      <w:lang w:val="en-US" w:eastAsia="zh-CN" w:bidi="ar-SA"/>
    </w:rPr>
  </w:style>
  <w:style w:type="character" w:customStyle="1" w:styleId="64">
    <w:name w:val="正文缩进 Char"/>
    <w:link w:val="11"/>
    <w:qFormat/>
    <w:uiPriority w:val="0"/>
    <w:rPr>
      <w:rFonts w:eastAsia="宋体"/>
      <w:lang w:val="en-US" w:eastAsia="en-US" w:bidi="ar-SA"/>
    </w:rPr>
  </w:style>
  <w:style w:type="character" w:customStyle="1" w:styleId="65">
    <w:name w:val="Char Char4"/>
    <w:qFormat/>
    <w:uiPriority w:val="0"/>
    <w:rPr>
      <w:rFonts w:ascii="Arial" w:hAnsi="Arial" w:eastAsia="黑体"/>
      <w:b/>
      <w:bCs/>
      <w:kern w:val="2"/>
      <w:sz w:val="30"/>
      <w:szCs w:val="32"/>
      <w:lang w:val="en-US" w:eastAsia="zh-CN" w:bidi="ar-SA"/>
    </w:rPr>
  </w:style>
  <w:style w:type="paragraph" w:customStyle="1" w:styleId="66">
    <w:name w:val="Char Char Char1 Char Char Char Char"/>
    <w:basedOn w:val="1"/>
    <w:qFormat/>
    <w:uiPriority w:val="0"/>
    <w:pPr>
      <w:widowControl/>
      <w:spacing w:after="160" w:line="240" w:lineRule="exact"/>
      <w:jc w:val="left"/>
    </w:pPr>
    <w:rPr>
      <w:szCs w:val="20"/>
    </w:rPr>
  </w:style>
  <w:style w:type="paragraph" w:customStyle="1" w:styleId="67">
    <w:name w:val="CM10"/>
    <w:basedOn w:val="68"/>
    <w:next w:val="68"/>
    <w:qFormat/>
    <w:uiPriority w:val="0"/>
    <w:pPr>
      <w:spacing w:line="468" w:lineRule="atLeast"/>
    </w:pPr>
    <w:rPr>
      <w:color w:val="auto"/>
    </w:rPr>
  </w:style>
  <w:style w:type="paragraph" w:customStyle="1" w:styleId="6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9">
    <w:name w:val="小标题"/>
    <w:basedOn w:val="1"/>
    <w:next w:val="11"/>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70">
    <w:name w:val="List Paragraph"/>
    <w:basedOn w:val="1"/>
    <w:link w:val="100"/>
    <w:qFormat/>
    <w:uiPriority w:val="34"/>
    <w:pPr>
      <w:ind w:firstLine="420" w:firstLineChars="200"/>
    </w:pPr>
    <w:rPr>
      <w:rFonts w:ascii="Calibri" w:hAnsi="Calibri"/>
      <w:szCs w:val="22"/>
    </w:rPr>
  </w:style>
  <w:style w:type="paragraph" w:customStyle="1" w:styleId="71">
    <w:name w:val="样式 标题 2PIM2H2Heading 2 Hidden2nd levelh22Header 2l2DO N..."/>
    <w:basedOn w:val="5"/>
    <w:qFormat/>
    <w:uiPriority w:val="0"/>
    <w:pPr>
      <w:jc w:val="left"/>
    </w:pPr>
    <w:rPr>
      <w:rFonts w:cs="宋体"/>
      <w:sz w:val="28"/>
      <w:szCs w:val="20"/>
    </w:rPr>
  </w:style>
  <w:style w:type="paragraph" w:customStyle="1" w:styleId="72">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编号1"/>
    <w:basedOn w:val="1"/>
    <w:qFormat/>
    <w:uiPriority w:val="0"/>
    <w:pPr>
      <w:spacing w:line="360" w:lineRule="auto"/>
    </w:pPr>
    <w:rPr>
      <w:rFonts w:ascii="Arial" w:hAnsi="Arial"/>
      <w:sz w:val="24"/>
      <w:szCs w:val="20"/>
    </w:rPr>
  </w:style>
  <w:style w:type="paragraph" w:customStyle="1" w:styleId="7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6">
    <w:name w:val="表头文本"/>
    <w:basedOn w:val="1"/>
    <w:qFormat/>
    <w:uiPriority w:val="0"/>
    <w:pPr>
      <w:autoSpaceDE w:val="0"/>
      <w:autoSpaceDN w:val="0"/>
      <w:adjustRightInd w:val="0"/>
      <w:jc w:val="center"/>
    </w:pPr>
    <w:rPr>
      <w:b/>
      <w:kern w:val="0"/>
      <w:sz w:val="24"/>
      <w:szCs w:val="20"/>
    </w:rPr>
  </w:style>
  <w:style w:type="paragraph" w:customStyle="1" w:styleId="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8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4"/>
    <w:basedOn w:val="1"/>
    <w:next w:val="22"/>
    <w:qFormat/>
    <w:uiPriority w:val="0"/>
    <w:rPr>
      <w:rFonts w:ascii="宋体" w:hAnsi="Courier New" w:cs="Courier New"/>
      <w:szCs w:val="21"/>
    </w:rPr>
  </w:style>
  <w:style w:type="paragraph" w:customStyle="1" w:styleId="82">
    <w:name w:val="纯文本 Char"/>
    <w:basedOn w:val="1"/>
    <w:next w:val="22"/>
    <w:qFormat/>
    <w:uiPriority w:val="0"/>
    <w:rPr>
      <w:rFonts w:ascii="宋体" w:hAnsi="Courier New"/>
      <w:szCs w:val="20"/>
    </w:rPr>
  </w:style>
  <w:style w:type="paragraph" w:customStyle="1" w:styleId="83">
    <w:name w:val="样式3"/>
    <w:basedOn w:val="22"/>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4"/>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70"/>
    <w:qFormat/>
    <w:uiPriority w:val="0"/>
    <w:rPr>
      <w:rFonts w:ascii="Calibri" w:hAnsi="Calibri"/>
      <w:kern w:val="2"/>
      <w:sz w:val="21"/>
      <w:szCs w:val="22"/>
    </w:rPr>
  </w:style>
  <w:style w:type="character" w:customStyle="1" w:styleId="101">
    <w:name w:val="正文文本缩进 2 Char"/>
    <w:link w:val="26"/>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8"/>
    <w:qFormat/>
    <w:uiPriority w:val="99"/>
    <w:rPr>
      <w:kern w:val="2"/>
      <w:sz w:val="18"/>
      <w:szCs w:val="18"/>
    </w:rPr>
  </w:style>
  <w:style w:type="character" w:customStyle="1" w:styleId="104">
    <w:name w:val="副标题 Char"/>
    <w:basedOn w:val="45"/>
    <w:link w:val="32"/>
    <w:qFormat/>
    <w:uiPriority w:val="0"/>
    <w:rPr>
      <w:rFonts w:ascii="Cambria" w:hAnsi="Cambria"/>
      <w:b/>
      <w:bCs/>
      <w:kern w:val="28"/>
      <w:sz w:val="32"/>
      <w:szCs w:val="32"/>
    </w:rPr>
  </w:style>
  <w:style w:type="character" w:customStyle="1" w:styleId="105">
    <w:name w:val="批注主题 Char"/>
    <w:basedOn w:val="59"/>
    <w:link w:val="40"/>
    <w:qFormat/>
    <w:uiPriority w:val="99"/>
    <w:rPr>
      <w:rFonts w:eastAsia="宋体"/>
      <w:b/>
      <w:bCs/>
      <w:kern w:val="2"/>
      <w:sz w:val="21"/>
      <w:szCs w:val="24"/>
      <w:lang w:val="en-US" w:eastAsia="zh-CN" w:bidi="ar-SA"/>
    </w:rPr>
  </w:style>
  <w:style w:type="character" w:customStyle="1" w:styleId="106">
    <w:name w:val="customize__projectname"/>
    <w:basedOn w:val="45"/>
    <w:qFormat/>
    <w:uiPriority w:val="0"/>
  </w:style>
  <w:style w:type="character" w:customStyle="1" w:styleId="107">
    <w:name w:val="customize_recordno"/>
    <w:basedOn w:val="45"/>
    <w:qFormat/>
    <w:uiPriority w:val="0"/>
  </w:style>
  <w:style w:type="character" w:customStyle="1" w:styleId="108">
    <w:name w:val="customize_project_code"/>
    <w:basedOn w:val="45"/>
    <w:qFormat/>
    <w:uiPriority w:val="0"/>
  </w:style>
  <w:style w:type="character" w:customStyle="1" w:styleId="109">
    <w:name w:val="customize_cgr"/>
    <w:basedOn w:val="45"/>
    <w:qFormat/>
    <w:uiPriority w:val="0"/>
  </w:style>
  <w:style w:type="character" w:customStyle="1" w:styleId="110">
    <w:name w:val="customize_agent"/>
    <w:basedOn w:val="45"/>
    <w:qFormat/>
    <w:uiPriority w:val="0"/>
  </w:style>
  <w:style w:type="character" w:customStyle="1" w:styleId="111">
    <w:name w:val="customize_cgrdz"/>
    <w:basedOn w:val="45"/>
    <w:qFormat/>
    <w:uiPriority w:val="0"/>
  </w:style>
  <w:style w:type="character" w:customStyle="1" w:styleId="112">
    <w:name w:val="customize_cgrdh"/>
    <w:basedOn w:val="45"/>
    <w:qFormat/>
    <w:uiPriority w:val="0"/>
  </w:style>
  <w:style w:type="character" w:customStyle="1" w:styleId="113">
    <w:name w:val="customize_agentadd"/>
    <w:basedOn w:val="45"/>
    <w:qFormat/>
    <w:uiPriority w:val="0"/>
  </w:style>
  <w:style w:type="character" w:customStyle="1" w:styleId="114">
    <w:name w:val="customize_agenttel"/>
    <w:basedOn w:val="45"/>
    <w:qFormat/>
    <w:uiPriority w:val="0"/>
  </w:style>
  <w:style w:type="character" w:customStyle="1" w:styleId="115">
    <w:name w:val="editinput"/>
    <w:basedOn w:val="45"/>
    <w:qFormat/>
    <w:uiPriority w:val="0"/>
  </w:style>
  <w:style w:type="character" w:customStyle="1" w:styleId="116">
    <w:name w:val="edittexttarea"/>
    <w:basedOn w:val="45"/>
    <w:qFormat/>
    <w:uiPriority w:val="0"/>
  </w:style>
  <w:style w:type="table" w:customStyle="1" w:styleId="117">
    <w:name w:val="网格型1"/>
    <w:basedOn w:val="4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25</Pages>
  <Words>1329</Words>
  <Characters>1463</Characters>
  <Lines>54</Lines>
  <Paragraphs>15</Paragraphs>
  <TotalTime>36</TotalTime>
  <ScaleCrop>false</ScaleCrop>
  <LinksUpToDate>false</LinksUpToDate>
  <CharactersWithSpaces>1499</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2023-05-21T21:34:00Z</dcterms:created>
  <dc:creator>黄振斌</dc:creator>
  <cp:lastModifiedBy>逸凡</cp:lastModifiedBy>
  <cp:lastPrinted>2025-12-17T08:13:00Z</cp:lastPrinted>
  <dcterms:modified xsi:type="dcterms:W3CDTF">2026-03-11T17:12:59Z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eyJoZGlkIjoiMDk0ZGEwMTA4YzcyNWRhNDMwY2YxMGZmOTI0ZjQ5MGEiLCJ1c2VySWQiOiI0MDk3NzIyMzQifQ==</vt:lpwstr>
  </property>
  <property fmtid="{D5CDD505-2E9C-101B-9397-08002B2CF9AE}" pid="4" name="ICV">
    <vt:lpwstr>CB24470A9D9E4B4C92F15CBFB3E968C3_13</vt:lpwstr>
  </property>
</Properties>
</file>