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32815540"/>
      <w:bookmarkStart w:id="1" w:name="_Toc125129292"/>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竞争性谈判</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小标宋简体" w:hAnsi="宋体" w:eastAsia="方正小标宋简体" w:cs="宋体"/>
          <w:bCs/>
          <w:kern w:val="0"/>
          <w:sz w:val="72"/>
          <w:szCs w:val="53"/>
        </w:rPr>
      </w:pPr>
    </w:p>
    <w:p w14:paraId="30D527CE">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域名和云服务租赁</w:t>
      </w:r>
    </w:p>
    <w:p w14:paraId="5BCF0F27">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T</w:t>
      </w:r>
      <w:r>
        <w:rPr>
          <w:rFonts w:hint="eastAsia" w:cs="宋体" w:asciiTheme="minorEastAsia" w:hAnsiTheme="minorEastAsia" w:eastAsiaTheme="minorEastAsia"/>
          <w:b/>
          <w:bCs/>
          <w:kern w:val="0"/>
          <w:sz w:val="32"/>
          <w:szCs w:val="32"/>
        </w:rPr>
        <w:t>2026001</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2</w:t>
      </w:r>
      <w:r>
        <w:rPr>
          <w:rFonts w:cs="宋体" w:asciiTheme="minorEastAsia" w:hAnsiTheme="minorEastAsia" w:eastAsiaTheme="minorEastAsia"/>
          <w:b/>
          <w:bCs/>
          <w:kern w:val="0"/>
          <w:sz w:val="32"/>
          <w:szCs w:val="32"/>
        </w:rPr>
        <w:t>月</w:t>
      </w:r>
    </w:p>
    <w:p w14:paraId="54675EEA">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7C74004A">
          <w:pPr>
            <w:pStyle w:val="30"/>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_Toc1488917559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rPr>
            <w:t>谈判</w:t>
          </w:r>
          <w:r>
            <w:t>邀请</w:t>
          </w:r>
          <w:r>
            <w:tab/>
          </w:r>
          <w:r>
            <w:fldChar w:fldCharType="begin"/>
          </w:r>
          <w:r>
            <w:instrText xml:space="preserve"> PAGEREF _Toc1488917559 \h </w:instrText>
          </w:r>
          <w:r>
            <w:fldChar w:fldCharType="separate"/>
          </w:r>
          <w:r>
            <w:t>3</w:t>
          </w:r>
          <w:r>
            <w:fldChar w:fldCharType="end"/>
          </w:r>
          <w:r>
            <w:rPr>
              <w:rFonts w:asciiTheme="minorEastAsia" w:hAnsiTheme="minorEastAsia" w:eastAsiaTheme="minorEastAsia"/>
              <w:szCs w:val="24"/>
            </w:rPr>
            <w:fldChar w:fldCharType="end"/>
          </w:r>
        </w:p>
        <w:p w14:paraId="7A6A899C">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_Toc297159821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_Toc297159821 \h </w:instrText>
          </w:r>
          <w:r>
            <w:fldChar w:fldCharType="separate"/>
          </w:r>
          <w:r>
            <w:t>5</w:t>
          </w:r>
          <w:r>
            <w:fldChar w:fldCharType="end"/>
          </w:r>
          <w:r>
            <w:rPr>
              <w:rFonts w:asciiTheme="minorEastAsia" w:hAnsiTheme="minorEastAsia" w:eastAsiaTheme="minorEastAsia"/>
            </w:rPr>
            <w:fldChar w:fldCharType="end"/>
          </w:r>
        </w:p>
        <w:p w14:paraId="64F24A9F">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_Toc1379171131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_Toc1379171131 \h </w:instrText>
          </w:r>
          <w:r>
            <w:fldChar w:fldCharType="separate"/>
          </w:r>
          <w:r>
            <w:t>9</w:t>
          </w:r>
          <w:r>
            <w:fldChar w:fldCharType="end"/>
          </w:r>
          <w:r>
            <w:rPr>
              <w:rFonts w:asciiTheme="minorEastAsia" w:hAnsiTheme="minorEastAsia" w:eastAsiaTheme="minorEastAsia"/>
            </w:rPr>
            <w:fldChar w:fldCharType="end"/>
          </w:r>
        </w:p>
        <w:p w14:paraId="59D6670C">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_Toc1829028146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_Toc1829028146 \h </w:instrText>
          </w:r>
          <w:r>
            <w:fldChar w:fldCharType="separate"/>
          </w:r>
          <w:r>
            <w:t>10</w:t>
          </w:r>
          <w:r>
            <w:fldChar w:fldCharType="end"/>
          </w:r>
          <w:r>
            <w:rPr>
              <w:rFonts w:asciiTheme="minorEastAsia" w:hAnsiTheme="minorEastAsia" w:eastAsiaTheme="minorEastAsia"/>
            </w:rPr>
            <w:fldChar w:fldCharType="end"/>
          </w:r>
        </w:p>
        <w:p w14:paraId="2487A8E1">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_Toc318096341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合同主要条款及格式</w:t>
          </w:r>
          <w:r>
            <w:tab/>
          </w:r>
          <w:r>
            <w:fldChar w:fldCharType="begin"/>
          </w:r>
          <w:r>
            <w:instrText xml:space="preserve"> PAGEREF _Toc318096341 \h </w:instrText>
          </w:r>
          <w:r>
            <w:fldChar w:fldCharType="separate"/>
          </w:r>
          <w:r>
            <w:t>15</w:t>
          </w:r>
          <w:r>
            <w:fldChar w:fldCharType="end"/>
          </w:r>
          <w:r>
            <w:rPr>
              <w:rFonts w:asciiTheme="minorEastAsia" w:hAnsiTheme="minorEastAsia" w:eastAsiaTheme="minorEastAsia"/>
            </w:rPr>
            <w:fldChar w:fldCharType="end"/>
          </w:r>
        </w:p>
        <w:p w14:paraId="3DE4BF6E">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_Toc1460858162 </w:instrText>
          </w:r>
          <w:r>
            <w:rPr>
              <w:rFonts w:asciiTheme="minorEastAsia" w:hAnsiTheme="minorEastAsia" w:eastAsiaTheme="minorEastAsia"/>
            </w:rPr>
            <w:fldChar w:fldCharType="separate"/>
          </w:r>
          <w:r>
            <w:t>第</w:t>
          </w:r>
          <w:r>
            <w:rPr>
              <w:rFonts w:hint="eastAsia"/>
              <w:lang w:eastAsia="zh-CN"/>
            </w:rPr>
            <w:t>六</w:t>
          </w:r>
          <w:r>
            <w:t>章</w:t>
          </w:r>
          <w:r>
            <w:rPr>
              <w:rFonts w:hint="eastAsia"/>
            </w:rPr>
            <w:t xml:space="preserve">  响应</w:t>
          </w:r>
          <w:r>
            <w:t>文件格式</w:t>
          </w:r>
          <w:r>
            <w:tab/>
          </w:r>
          <w:r>
            <w:fldChar w:fldCharType="begin"/>
          </w:r>
          <w:r>
            <w:instrText xml:space="preserve"> PAGEREF _Toc1460858162 \h </w:instrText>
          </w:r>
          <w:r>
            <w:fldChar w:fldCharType="separate"/>
          </w:r>
          <w:r>
            <w:t>20</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3C145E44">
      <w:pPr>
        <w:sectPr>
          <w:pgSz w:w="11906" w:h="16838"/>
          <w:pgMar w:top="1418" w:right="1418" w:bottom="1418" w:left="1418" w:header="851" w:footer="992" w:gutter="0"/>
          <w:cols w:space="720" w:num="1"/>
          <w:titlePg/>
          <w:docGrid w:linePitch="312" w:charSpace="0"/>
        </w:sectPr>
      </w:pPr>
    </w:p>
    <w:p w14:paraId="67FE6487">
      <w:pPr>
        <w:pStyle w:val="5"/>
        <w:spacing w:before="240" w:after="240"/>
      </w:pPr>
      <w:bookmarkStart w:id="2" w:name="_Toc1488917559"/>
      <w:r>
        <w:t>第一章</w:t>
      </w:r>
      <w:r>
        <w:rPr>
          <w:rFonts w:hint="eastAsia" w:ascii="宋体" w:hAnsi="宋体" w:eastAsia="宋体" w:cs="宋体"/>
        </w:rPr>
        <w:t xml:space="preserve">  </w:t>
      </w:r>
      <w:r>
        <w:rPr>
          <w:rFonts w:hint="eastAsia"/>
        </w:rPr>
        <w:t>谈判</w:t>
      </w:r>
      <w:r>
        <w:t>邀请</w:t>
      </w:r>
      <w:bookmarkEnd w:id="2"/>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eastAsia="zh-CN"/>
        </w:rPr>
        <w:t>竞争性</w:t>
      </w:r>
      <w:r>
        <w:rPr>
          <w:rFonts w:hint="eastAsia" w:cs="宋体" w:asciiTheme="minorEastAsia" w:hAnsiTheme="minorEastAsia" w:eastAsiaTheme="minorEastAsia"/>
          <w:b/>
          <w:kern w:val="0"/>
          <w:sz w:val="24"/>
          <w:u w:val="single"/>
        </w:rPr>
        <w:t>谈判方式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谈判采购</w:t>
      </w:r>
      <w:r>
        <w:rPr>
          <w:rFonts w:cs="宋体" w:asciiTheme="minorEastAsia" w:hAnsiTheme="minorEastAsia" w:eastAsiaTheme="minorEastAsia"/>
          <w:kern w:val="0"/>
          <w:sz w:val="24"/>
        </w:rPr>
        <w:t>活动。</w:t>
      </w:r>
    </w:p>
    <w:p w14:paraId="56E10CF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域名和云服务租赁</w:t>
      </w:r>
      <w:r>
        <w:rPr>
          <w:rFonts w:cs="宋体" w:asciiTheme="minorEastAsia" w:hAnsiTheme="minorEastAsia" w:eastAsiaTheme="minorEastAsia"/>
          <w:kern w:val="0"/>
          <w:sz w:val="24"/>
        </w:rPr>
        <w:t>。</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：详见谈判文件第二章。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、谈判文件的获取：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供应商自行从本项目采购公告附件中下载。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eastAsia="宋体" w:cs="宋体" w:asciiTheme="minorEastAsia" w:hAnsi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傅工</w:t>
      </w:r>
      <w:r>
        <w:rPr>
          <w:rFonts w:hint="eastAsia" w:cs="宋体" w:asciiTheme="minorEastAsia" w:hAnsiTheme="minorEastAsia" w:eastAsiaTheme="minorEastAsia"/>
          <w:kern w:val="0"/>
          <w:sz w:val="24"/>
        </w:rPr>
        <w:t>，联系电话：</w:t>
      </w:r>
      <w:r>
        <w:rPr>
          <w:rFonts w:hint="eastAsia" w:ascii="宋体" w:hAnsi="宋体" w:cs="Arial"/>
          <w:color w:val="000000"/>
          <w:sz w:val="24"/>
        </w:rPr>
        <w:t>0592-6248</w:t>
      </w:r>
      <w:r>
        <w:rPr>
          <w:rFonts w:hint="eastAsia" w:ascii="宋体" w:hAnsi="宋体" w:cs="Arial"/>
          <w:color w:val="000000"/>
          <w:sz w:val="24"/>
          <w:lang w:val="en-US" w:eastAsia="zh-CN"/>
        </w:rPr>
        <w:t>014</w:t>
      </w:r>
    </w:p>
    <w:p w14:paraId="57D88105">
      <w:pPr>
        <w:sectPr>
          <w:pgSz w:w="11906" w:h="16838"/>
          <w:pgMar w:top="1418" w:right="1418" w:bottom="1418" w:left="1418" w:header="851" w:footer="992" w:gutter="0"/>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0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2036"/>
        <w:gridCol w:w="794"/>
        <w:gridCol w:w="1006"/>
        <w:gridCol w:w="1496"/>
        <w:gridCol w:w="1551"/>
        <w:gridCol w:w="1478"/>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115"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49"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809"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115"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ascii="宋体" w:hAnsi="宋体" w:cs="宋体"/>
                <w:kern w:val="0"/>
                <w:sz w:val="24"/>
              </w:rPr>
            </w:pPr>
            <w:r>
              <w:rPr>
                <w:rFonts w:hint="eastAsia" w:ascii="宋体" w:hAnsi="宋体" w:cs="宋体"/>
                <w:kern w:val="0"/>
                <w:sz w:val="24"/>
              </w:rPr>
              <w:t>域名和云服务租赁</w:t>
            </w:r>
          </w:p>
        </w:tc>
        <w:tc>
          <w:tcPr>
            <w:tcW w:w="435"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2年</w:t>
            </w:r>
          </w:p>
        </w:tc>
        <w:tc>
          <w:tcPr>
            <w:tcW w:w="819"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64000</w:t>
            </w:r>
          </w:p>
        </w:tc>
        <w:tc>
          <w:tcPr>
            <w:tcW w:w="849"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lang w:val="en-US" w:eastAsia="zh-CN"/>
              </w:rPr>
            </w:pPr>
            <w:r>
              <w:rPr>
                <w:rFonts w:hint="eastAsia" w:asciiTheme="minorEastAsia" w:hAnsiTheme="minorEastAsia" w:eastAsiaTheme="minorEastAsia" w:cstheme="minorEastAsia"/>
                <w:kern w:val="0"/>
                <w:sz w:val="24"/>
                <w:szCs w:val="24"/>
                <w:lang w:val="en-US" w:eastAsia="zh-CN" w:bidi="ar"/>
              </w:rPr>
              <w:t>自</w:t>
            </w:r>
            <w:r>
              <w:rPr>
                <w:rFonts w:hint="eastAsia" w:asciiTheme="minorEastAsia" w:hAnsiTheme="minorEastAsia" w:cstheme="minorEastAsia"/>
                <w:kern w:val="0"/>
                <w:sz w:val="24"/>
                <w:szCs w:val="24"/>
                <w:lang w:val="en-US" w:eastAsia="zh-CN" w:bidi="ar"/>
              </w:rPr>
              <w:t>域名及云服务租赁</w:t>
            </w:r>
            <w:r>
              <w:rPr>
                <w:rFonts w:hint="eastAsia" w:asciiTheme="minorEastAsia" w:hAnsiTheme="minorEastAsia" w:eastAsiaTheme="minorEastAsia" w:cstheme="minorEastAsia"/>
                <w:kern w:val="0"/>
                <w:sz w:val="24"/>
                <w:szCs w:val="24"/>
                <w:lang w:val="en-US" w:eastAsia="zh-CN" w:bidi="ar"/>
              </w:rPr>
              <w:t>业务开通之日</w:t>
            </w:r>
            <w:r>
              <w:rPr>
                <w:rFonts w:hint="eastAsia" w:ascii="宋体" w:hAnsi="宋体"/>
                <w:sz w:val="24"/>
              </w:rPr>
              <w:t>起</w:t>
            </w:r>
            <w:r>
              <w:rPr>
                <w:rFonts w:hint="eastAsia" w:ascii="宋体" w:hAnsi="宋体"/>
                <w:sz w:val="24"/>
                <w:lang w:val="en-US" w:eastAsia="zh-CN"/>
              </w:rPr>
              <w:t>2</w:t>
            </w:r>
            <w:r>
              <w:rPr>
                <w:rFonts w:hint="eastAsia" w:ascii="宋体" w:hAnsi="宋体"/>
                <w:sz w:val="24"/>
              </w:rPr>
              <w:t>年</w:t>
            </w:r>
          </w:p>
        </w:tc>
        <w:tc>
          <w:tcPr>
            <w:tcW w:w="809"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对谈判文件载明的全部合同包进行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42169C1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53FE7FA5">
      <w:pPr>
        <w:widowControl/>
        <w:spacing w:line="360" w:lineRule="auto"/>
        <w:ind w:firstLine="480" w:firstLineChars="200"/>
        <w:jc w:val="left"/>
        <w:rPr>
          <w:rFonts w:cs="宋体" w:asciiTheme="minorEastAsia" w:hAnsiTheme="minorEastAsia" w:eastAsiaTheme="minorEastAsia"/>
          <w:kern w:val="0"/>
          <w:sz w:val="24"/>
        </w:rPr>
      </w:pPr>
    </w:p>
    <w:p w14:paraId="56777212"/>
    <w:p w14:paraId="0CC5FFF3">
      <w:pPr>
        <w:sectPr>
          <w:pgSz w:w="11906" w:h="16838"/>
          <w:pgMar w:top="1418" w:right="1418" w:bottom="1418" w:left="1418" w:header="851" w:footer="992" w:gutter="0"/>
          <w:cols w:space="720" w:num="1"/>
          <w:titlePg/>
          <w:docGrid w:linePitch="312" w:charSpace="0"/>
        </w:sectPr>
      </w:pPr>
    </w:p>
    <w:p w14:paraId="10500DBA">
      <w:pPr>
        <w:pStyle w:val="5"/>
        <w:spacing w:before="240" w:after="240"/>
      </w:pPr>
      <w:bookmarkStart w:id="3" w:name="_Toc297159821"/>
      <w:r>
        <w:t>第</w:t>
      </w:r>
      <w:r>
        <w:rPr>
          <w:rFonts w:hint="eastAsia"/>
        </w:rPr>
        <w:t>二</w:t>
      </w:r>
      <w:r>
        <w:t>章</w:t>
      </w:r>
      <w:r>
        <w:rPr>
          <w:rFonts w:hint="eastAsia"/>
        </w:rPr>
        <w:t xml:space="preserve">  资格及符合性要求</w:t>
      </w:r>
      <w:bookmarkEnd w:id="3"/>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179179EF">
            <w:pPr>
              <w:spacing w:line="276" w:lineRule="auto"/>
              <w:rPr>
                <w:rFonts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239257CB">
            <w:pPr>
              <w:spacing w:line="276" w:lineRule="auto"/>
              <w:rPr>
                <w:rFonts w:ascii="宋体" w:hAnsi="宋体" w:cs="宋体"/>
                <w:kern w:val="0"/>
                <w:sz w:val="24"/>
              </w:rPr>
            </w:pPr>
            <w:r>
              <w:rPr>
                <w:rFonts w:hint="eastAsia" w:ascii="宋体" w:hAnsi="宋体" w:cs="宋体"/>
                <w:kern w:val="0"/>
                <w:sz w:val="24"/>
              </w:rPr>
              <w:t>4、供应商无需提供信用信息查询结果。若供应商自行提供查询结果的，仍以评审当天查询结果为准。</w:t>
            </w: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未按照谈判文件规定提交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未按照谈判文件规定提交供应商的资格文件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不符合谈判文件中以“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属于谈判文件规定的响应无效情形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响应文件对谈判文件实质性要求的响应存在重大偏离或保留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4B6C7A7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（6）不同供应商的响应保证金从同一单位或个人的账户转出；</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（7）有关法律、法规和规章及谈判文件规定的其他串通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文件未按照谈判文件要求签署、盖章；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（2）不符合谈判文件中规定的资格要求；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（3）报价超过谈判文件中规定的预算金额或最高限价；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（5）有关法律、法规和规章及谈判文件规定的其他无效情形。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（2）响应文件中提供的材料与谈判文件要求的途径查询结果不一致的；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（6）谈判小组根据其专业知识评判认定存在虚假情形的。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谈判过程中若对材料存疑的，采购人或谈判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（2）质疑、投诉处理或合同签订前要求提供原件的：若供应商未在3个工作日内提供，则认定供应商提供的该材料为虚假材料，其成交无效。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（3）合同签订后、履约验收阶段要求提供原件的：若供应商未在7个工作日内提供，则认定验收不合格，并按合同约定追究供应商的违约责任。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谈判小组认为供应商的报价明显低于其他供应商的报价，有可能影响产品质量或不能诚信履约的，应要求其在评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现场合理的时间内提供书面说明，必要时还应要求其一并提交有关证明材料；供应商不能证明其报价合理性的，谈判小组应将其作为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文件中含义不明确、同类问题表述不一致或有明显文字和计算错误的内容，谈判小组将以书面形式要求供应商作出必要的澄清、说明或补正。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（2）供应商的澄清、说明或补正应由供应商代表在谈判小组规定的时间内（一般在半个小时左右，具体要求将根据实际情况在澄清通知中约定）以书面形式向谈判小组提交，前述澄清、说明或补正不得超出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文件的实质性内容。若供应商未按照前述规定向谈判小组提交书面澄清、说明或补正，则谈判小组将按照不利于供应商的内容进行认定。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w:t>
      </w:r>
      <w:r>
        <w:rPr>
          <w:rFonts w:hint="eastAsia" w:cs="宋体" w:asciiTheme="minorEastAsia" w:hAnsiTheme="minorEastAsia" w:eastAsiaTheme="minorEastAsia"/>
          <w:kern w:val="0"/>
          <w:sz w:val="24"/>
          <w:highlight w:val="none"/>
        </w:rPr>
        <w:t>谈判</w:t>
      </w:r>
      <w:r>
        <w:rPr>
          <w:rFonts w:cs="宋体" w:asciiTheme="minorEastAsia" w:hAnsiTheme="minorEastAsia" w:eastAsiaTheme="minorEastAsia"/>
          <w:kern w:val="0"/>
          <w:sz w:val="24"/>
          <w:highlight w:val="none"/>
        </w:rPr>
        <w:t>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5900AC83">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427699E1">
      <w:pPr>
        <w:pStyle w:val="5"/>
        <w:spacing w:before="240" w:after="240"/>
      </w:pPr>
      <w:bookmarkStart w:id="4" w:name="_Toc1379171131"/>
      <w:r>
        <w:rPr>
          <w:rFonts w:hint="eastAsia"/>
        </w:rPr>
        <w:t>第三章  确定成交供应商办法</w:t>
      </w:r>
      <w:bookmarkEnd w:id="4"/>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highlight w:val="yellow"/>
        </w:rPr>
        <w:t>合同包</w:t>
      </w:r>
      <w:r>
        <w:rPr>
          <w:rFonts w:hint="eastAsia" w:cs="宋体" w:asciiTheme="minorEastAsia" w:hAnsiTheme="minorEastAsia" w:eastAsiaTheme="minorEastAsia"/>
          <w:kern w:val="0"/>
          <w:sz w:val="24"/>
          <w:highlight w:val="yellow"/>
        </w:rPr>
        <w:t>1</w:t>
      </w:r>
      <w:r>
        <w:rPr>
          <w:rFonts w:cs="宋体" w:asciiTheme="minorEastAsia" w:hAnsiTheme="minorEastAsia" w:eastAsiaTheme="minorEastAsia"/>
          <w:kern w:val="0"/>
          <w:sz w:val="24"/>
          <w:highlight w:val="yellow"/>
        </w:rPr>
        <w:t>采用：</w:t>
      </w:r>
      <w:r>
        <w:rPr>
          <w:rFonts w:hint="eastAsia" w:cs="宋体" w:asciiTheme="minorEastAsia" w:hAnsiTheme="minorEastAsia" w:eastAsiaTheme="minorEastAsia"/>
          <w:kern w:val="0"/>
          <w:sz w:val="24"/>
          <w:highlight w:val="yellow"/>
        </w:rPr>
        <w:t>最低评审价法</w:t>
      </w:r>
      <w:r>
        <w:rPr>
          <w:rFonts w:cs="宋体" w:asciiTheme="minorEastAsia" w:hAnsiTheme="minorEastAsia" w:eastAsiaTheme="minorEastAsia"/>
          <w:kern w:val="0"/>
          <w:sz w:val="24"/>
          <w:highlight w:val="yellow"/>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1、谈判小组将采用最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2、谈判小组将从质量和服务均能满足采购文件实质性响应要求的供应商中，按照最后报价评审价由低到高的顺序提出成交候选人，并编写评审报告。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182E08A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签订</w:t>
      </w:r>
      <w:r>
        <w:rPr>
          <w:rFonts w:cs="宋体" w:asciiTheme="minorEastAsia" w:hAnsiTheme="minorEastAsia" w:eastAsiaTheme="minorEastAsia"/>
          <w:kern w:val="0"/>
          <w:sz w:val="24"/>
        </w:rPr>
        <w:t>合同</w:t>
      </w:r>
    </w:p>
    <w:p w14:paraId="3E896E2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成交供应商应自成交公告</w:t>
      </w:r>
      <w:r>
        <w:rPr>
          <w:rFonts w:cs="宋体" w:asciiTheme="minorEastAsia" w:hAnsiTheme="minorEastAsia" w:eastAsiaTheme="minorEastAsia"/>
          <w:kern w:val="0"/>
          <w:sz w:val="24"/>
        </w:rPr>
        <w:t>发出之日起</w:t>
      </w:r>
      <w:r>
        <w:rPr>
          <w:rFonts w:hint="eastAsia" w:cs="宋体" w:asciiTheme="minorEastAsia" w:hAnsiTheme="minorEastAsia" w:eastAsiaTheme="minorEastAsia"/>
          <w:kern w:val="0"/>
          <w:sz w:val="24"/>
          <w:highlight w:val="none"/>
          <w:lang w:val="en-US" w:eastAsia="zh-CN"/>
        </w:rPr>
        <w:t>7</w:t>
      </w:r>
      <w:r>
        <w:rPr>
          <w:rFonts w:cs="宋体" w:asciiTheme="minorEastAsia" w:hAnsiTheme="minorEastAsia" w:eastAsiaTheme="minorEastAsia"/>
          <w:kern w:val="0"/>
          <w:sz w:val="24"/>
          <w:highlight w:val="none"/>
        </w:rPr>
        <w:t>个日历日</w:t>
      </w:r>
      <w:r>
        <w:rPr>
          <w:rFonts w:cs="宋体" w:asciiTheme="minorEastAsia" w:hAnsiTheme="minorEastAsia" w:eastAsiaTheme="minorEastAsia"/>
          <w:kern w:val="0"/>
          <w:sz w:val="24"/>
        </w:rPr>
        <w:t>内与采购人签订合同。</w:t>
      </w:r>
    </w:p>
    <w:p w14:paraId="41061769">
      <w:pPr>
        <w:widowControl/>
        <w:spacing w:line="360" w:lineRule="auto"/>
        <w:ind w:firstLine="480" w:firstLineChars="200"/>
        <w:jc w:val="left"/>
        <w:rPr>
          <w:rFonts w:cs="宋体" w:asciiTheme="minorEastAsia" w:hAnsiTheme="minorEastAsia" w:eastAsiaTheme="minorEastAsia"/>
          <w:kern w:val="0"/>
          <w:sz w:val="24"/>
        </w:rPr>
      </w:pPr>
    </w:p>
    <w:p w14:paraId="2B4B04CE">
      <w:pPr>
        <w:widowControl/>
        <w:spacing w:line="360" w:lineRule="auto"/>
        <w:ind w:firstLine="480" w:firstLineChars="200"/>
        <w:jc w:val="left"/>
        <w:rPr>
          <w:rFonts w:cs="宋体" w:asciiTheme="minorEastAsia" w:hAnsiTheme="minorEastAsia" w:eastAsiaTheme="minorEastAsia"/>
          <w:kern w:val="0"/>
          <w:sz w:val="24"/>
        </w:rPr>
      </w:pPr>
    </w:p>
    <w:p w14:paraId="5E59FA25">
      <w:pPr>
        <w:rPr>
          <w:kern w:val="0"/>
        </w:rPr>
        <w:sectPr>
          <w:pgSz w:w="11906" w:h="16838"/>
          <w:pgMar w:top="1418" w:right="1418" w:bottom="1418" w:left="1418" w:header="851" w:footer="992" w:gutter="0"/>
          <w:cols w:space="720" w:num="1"/>
          <w:titlePg/>
          <w:docGrid w:linePitch="312" w:charSpace="0"/>
        </w:sectPr>
      </w:pPr>
      <w:r>
        <w:rPr>
          <w:kern w:val="0"/>
        </w:rPr>
        <w:t> </w:t>
      </w:r>
    </w:p>
    <w:p w14:paraId="4E280FEB">
      <w:pPr>
        <w:pStyle w:val="5"/>
        <w:spacing w:before="240" w:after="240"/>
        <w:rPr>
          <w:rFonts w:ascii="宋体" w:hAnsi="宋体"/>
          <w:sz w:val="24"/>
        </w:rPr>
      </w:pPr>
      <w:bookmarkStart w:id="5" w:name="_Toc1829028146"/>
      <w:r>
        <w:t>第</w:t>
      </w:r>
      <w:r>
        <w:rPr>
          <w:rFonts w:hint="eastAsia"/>
        </w:rPr>
        <w:t>四</w:t>
      </w:r>
      <w:r>
        <w:t>章</w:t>
      </w:r>
      <w:r>
        <w:rPr>
          <w:rFonts w:hint="eastAsia" w:ascii="宋体" w:hAnsi="宋体"/>
        </w:rPr>
        <w:t xml:space="preserve">  </w:t>
      </w:r>
      <w:r>
        <w:rPr>
          <w:rFonts w:hint="eastAsia"/>
        </w:rPr>
        <w:t>采购</w:t>
      </w:r>
      <w:r>
        <w:t>内容及要求</w:t>
      </w:r>
      <w:bookmarkEnd w:id="5"/>
    </w:p>
    <w:p w14:paraId="2FC55095">
      <w:pPr>
        <w:pStyle w:val="69"/>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4D9AA46">
      <w:pPr>
        <w:pStyle w:val="69"/>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val="en-US" w:eastAsia="zh-CN"/>
        </w:rPr>
        <w:t>1、</w:t>
      </w:r>
      <w:r>
        <w:rPr>
          <w:rFonts w:hint="eastAsia" w:ascii="宋体" w:hAnsi="宋体"/>
          <w:sz w:val="24"/>
          <w:szCs w:val="28"/>
          <w:lang w:eastAsia="zh-CN"/>
        </w:rPr>
        <w:t>本项目为厦门市杏林医院域名和云服务租赁，服务期限为</w:t>
      </w:r>
      <w:r>
        <w:rPr>
          <w:rFonts w:hint="eastAsia" w:ascii="宋体" w:hAnsi="宋体" w:eastAsia="宋体"/>
          <w:sz w:val="24"/>
          <w:szCs w:val="28"/>
          <w:lang w:val="en-US" w:eastAsia="zh-CN"/>
        </w:rPr>
        <w:t>自域名及云服务租赁业务开通之日起</w:t>
      </w:r>
      <w:r>
        <w:rPr>
          <w:rFonts w:hint="eastAsia" w:ascii="宋体" w:hAnsi="宋体"/>
          <w:sz w:val="24"/>
          <w:szCs w:val="28"/>
          <w:lang w:val="en-US" w:eastAsia="zh-CN"/>
        </w:rPr>
        <w:t>2</w:t>
      </w:r>
      <w:r>
        <w:rPr>
          <w:rFonts w:hint="eastAsia" w:ascii="宋体" w:hAnsi="宋体" w:eastAsia="宋体"/>
          <w:sz w:val="24"/>
          <w:szCs w:val="28"/>
          <w:lang w:val="en-US" w:eastAsia="zh-CN"/>
        </w:rPr>
        <w:t>年</w:t>
      </w:r>
      <w:r>
        <w:rPr>
          <w:rFonts w:hint="eastAsia" w:ascii="宋体" w:hAnsi="宋体"/>
          <w:sz w:val="24"/>
          <w:szCs w:val="28"/>
          <w:lang w:eastAsia="zh-CN"/>
        </w:rPr>
        <w:t>，预算为</w:t>
      </w:r>
      <w:r>
        <w:rPr>
          <w:rFonts w:hint="eastAsia" w:ascii="宋体" w:hAnsi="宋体"/>
          <w:sz w:val="24"/>
          <w:szCs w:val="28"/>
          <w:lang w:val="en-US" w:eastAsia="zh-CN"/>
        </w:rPr>
        <w:t>6.4</w:t>
      </w:r>
      <w:r>
        <w:rPr>
          <w:rFonts w:hint="eastAsia" w:ascii="宋体" w:hAnsi="宋体"/>
          <w:sz w:val="24"/>
          <w:szCs w:val="28"/>
          <w:lang w:eastAsia="zh-CN"/>
        </w:rPr>
        <w:t>万元，服务期限到期合同终止。</w:t>
      </w:r>
    </w:p>
    <w:p w14:paraId="42FDAF07">
      <w:pPr>
        <w:pStyle w:val="69"/>
        <w:numPr>
          <w:ilvl w:val="0"/>
          <w:numId w:val="0"/>
        </w:numPr>
        <w:tabs>
          <w:tab w:val="left" w:pos="993"/>
        </w:tabs>
        <w:spacing w:line="360" w:lineRule="auto"/>
        <w:ind w:firstLine="480" w:firstLineChars="200"/>
        <w:rPr>
          <w:rFonts w:hint="default" w:ascii="宋体" w:hAnsi="宋体"/>
          <w:sz w:val="24"/>
          <w:szCs w:val="28"/>
          <w:lang w:val="en-US" w:eastAsia="zh-CN"/>
        </w:rPr>
      </w:pPr>
      <w:r>
        <w:rPr>
          <w:rFonts w:hint="eastAsia" w:ascii="宋体" w:hAnsi="宋体"/>
          <w:sz w:val="24"/>
          <w:szCs w:val="28"/>
          <w:lang w:val="en-US" w:eastAsia="zh-CN"/>
        </w:rPr>
        <w:t>2、本项目包括域名租赁服务、域名解析、相关云资源，用于搭建运行医院官网，同时提供云相关安全服务保障医院官网稳定安全运行。</w:t>
      </w:r>
    </w:p>
    <w:p w14:paraId="4FC82BB7">
      <w:pPr>
        <w:pStyle w:val="69"/>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7FA73043">
      <w:pPr>
        <w:pStyle w:val="69"/>
        <w:numPr>
          <w:ilvl w:val="0"/>
          <w:numId w:val="0"/>
        </w:numPr>
        <w:tabs>
          <w:tab w:val="left" w:pos="993"/>
        </w:tabs>
        <w:spacing w:line="360" w:lineRule="auto"/>
        <w:ind w:firstLine="482" w:firstLineChars="200"/>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1、参数明细：</w:t>
      </w:r>
    </w:p>
    <w:tbl>
      <w:tblPr>
        <w:tblStyle w:val="42"/>
        <w:tblW w:w="8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1108"/>
        <w:gridCol w:w="4850"/>
        <w:gridCol w:w="928"/>
        <w:gridCol w:w="1032"/>
      </w:tblGrid>
      <w:tr w14:paraId="6B8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6900702">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794A95">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产品大类</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5699EE8">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产品描述</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589B5F6">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2185B8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单位</w:t>
            </w:r>
          </w:p>
        </w:tc>
      </w:tr>
      <w:tr w14:paraId="77F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DB567F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C8B22DF">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云安全防护服务</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89BF26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1.下一代防火墙：具备基础防火墙功能，可进行应用识别控制、应用层防护及资产风险识别等。支持基于设备接口等属性的一体化安全策略，实现高级访问控制。</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2.云主机防病毒：提供终端查杀病毒、软件管理等功能，具备病毒智能拦截能力，针对未知勒索病毒有专门检测引擎。</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3.Web应用安全防护：抵御各类Web安全威胁和拒绝服务，支持多种网络协议及安全防护功能</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4.系统漏洞扫描服务：使用专业工具扫描云主机系统安全隐患，便于修复，每月一次。</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5.网站漏洞扫描服务：针对网站应用进行扫描，每月一次。</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6.入网评估：开通服务后全面评估业务系统，输出检查结果及整改建议。</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7.病毒清除：全面分析顽固病毒，制定并实施清除方案。</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8.应急响应：主机遭遇黑客入侵后，专业工程师排查原因，按需提供分析报告及远程服务</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9.安全报告服务：每月汇总漏洞评估情况，提供整改建议，发送月度报告。</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10.等保助手租户平台：一站式展示安全能力。</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11.日志审计：含云主机、下一代防火墙、Web 应用安全防护等5个设备接入授权的日志审计服务，日志存储时长≥180天。</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510155F">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2E124B">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月</w:t>
            </w:r>
          </w:p>
        </w:tc>
      </w:tr>
      <w:tr w14:paraId="36DB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F03C0C9">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9DFF1B6">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云计算资源服务</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C67992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CPU（虚拟核数）：≥8核心</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内存（GB）：≥16GB</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 xml:space="preserve">系统盘（GB）：≥40GB </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数据盘（GB）：≥500GB</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操作系统：linux/windows</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带宽（M）：≥10</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F7146E9">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4A320D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月</w:t>
            </w:r>
          </w:p>
        </w:tc>
      </w:tr>
      <w:tr w14:paraId="5780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4ACB0C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929FA14">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SSL证书服务</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95675E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域名类型:通配符</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证书版本:标准版</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证书种类:OV企业型</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B0E7DE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058C8F1">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年</w:t>
            </w:r>
          </w:p>
        </w:tc>
      </w:tr>
      <w:tr w14:paraId="1BA8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138B36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2A7C7FD">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i w:val="0"/>
                <w:kern w:val="2"/>
                <w:sz w:val="24"/>
                <w:szCs w:val="28"/>
                <w:u w:val="none"/>
                <w:lang w:val="en-US" w:eastAsia="zh-CN" w:bidi="ar"/>
              </w:rPr>
              <w:t>域名续租</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B280018">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i w:val="0"/>
                <w:kern w:val="2"/>
                <w:sz w:val="24"/>
                <w:szCs w:val="28"/>
                <w:u w:val="none"/>
                <w:lang w:val="en-US" w:eastAsia="zh-CN" w:bidi="ar"/>
              </w:rPr>
              <w:t>xmxlh.com.cn</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00BC291">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07D3AD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年</w:t>
            </w:r>
          </w:p>
        </w:tc>
      </w:tr>
    </w:tbl>
    <w:p w14:paraId="47002AC1">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宋体" w:hAnsi="宋体" w:eastAsia="宋体"/>
          <w:b/>
          <w:bCs/>
          <w:sz w:val="24"/>
          <w:szCs w:val="28"/>
          <w:lang w:val="en-US" w:eastAsia="zh-CN"/>
        </w:rPr>
        <w:t>、技术响应要求</w:t>
      </w:r>
      <w:r>
        <w:rPr>
          <w:rFonts w:hint="eastAsia" w:asciiTheme="minorEastAsia" w:hAnsiTheme="minorEastAsia" w:eastAsiaTheme="minorEastAsia" w:cstheme="minorEastAsia"/>
          <w:b/>
          <w:bCs/>
          <w:color w:val="auto"/>
          <w:sz w:val="24"/>
          <w:szCs w:val="24"/>
          <w:highlight w:val="none"/>
          <w:lang w:val="en-US" w:eastAsia="zh-CN"/>
        </w:rPr>
        <w:t>：</w:t>
      </w:r>
    </w:p>
    <w:p w14:paraId="79804FE3">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1供应商需完全满足上述“</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宋体" w:hAnsi="宋体" w:eastAsia="宋体" w:cs="Times New Roman"/>
          <w:sz w:val="24"/>
          <w:szCs w:val="28"/>
          <w:lang w:val="en-US" w:eastAsia="zh-CN"/>
        </w:rPr>
        <w:t>云安全防护服务、</w:t>
      </w: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宋体" w:hAnsi="宋体" w:eastAsia="宋体" w:cs="Times New Roman"/>
          <w:sz w:val="24"/>
          <w:szCs w:val="28"/>
          <w:lang w:val="en-US" w:eastAsia="zh-CN"/>
        </w:rPr>
        <w:t>云计算资源服务</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Times New Roman"/>
          <w:sz w:val="24"/>
          <w:szCs w:val="28"/>
          <w:lang w:val="en-US" w:eastAsia="zh-CN"/>
        </w:rPr>
        <w:t>SSL证书服务、4 顶级域名</w:t>
      </w:r>
      <w:r>
        <w:rPr>
          <w:rFonts w:hint="default" w:asciiTheme="minorEastAsia" w:hAnsiTheme="minorEastAsia" w:eastAsiaTheme="minorEastAsia" w:cstheme="minorEastAsia"/>
          <w:color w:val="auto"/>
          <w:sz w:val="24"/>
          <w:szCs w:val="24"/>
          <w:highlight w:val="none"/>
          <w:lang w:val="en-US" w:eastAsia="zh-CN"/>
        </w:rPr>
        <w:t>”</w:t>
      </w:r>
      <w:r>
        <w:rPr>
          <w:rFonts w:hint="eastAsia" w:ascii="宋体" w:hAnsi="宋体" w:eastAsia="宋体" w:cs="Times New Roman"/>
          <w:sz w:val="24"/>
          <w:szCs w:val="28"/>
          <w:lang w:val="en-US" w:eastAsia="zh-CN"/>
        </w:rPr>
        <w:t>产品描述参数要求</w:t>
      </w:r>
      <w:r>
        <w:rPr>
          <w:rFonts w:hint="default" w:asciiTheme="minorEastAsia" w:hAnsiTheme="minorEastAsia" w:eastAsiaTheme="minorEastAsia" w:cstheme="minorEastAsia"/>
          <w:color w:val="auto"/>
          <w:sz w:val="24"/>
          <w:szCs w:val="24"/>
          <w:highlight w:val="none"/>
          <w:lang w:val="en-US" w:eastAsia="zh-CN"/>
        </w:rPr>
        <w:t>，不满足</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负偏离或未响应的，视为未实质性响应采购要求，响应无效。</w:t>
      </w:r>
    </w:p>
    <w:p w14:paraId="788A27E2">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default" w:asciiTheme="minorEastAsia" w:hAnsiTheme="minorEastAsia" w:eastAsiaTheme="minorEastAsia" w:cstheme="minorEastAsia"/>
          <w:color w:val="auto"/>
          <w:sz w:val="24"/>
          <w:szCs w:val="24"/>
          <w:highlight w:val="none"/>
          <w:lang w:val="en-US" w:eastAsia="zh-CN"/>
        </w:rPr>
        <w:t>供应商提供的改造内容应符合网络信息安全等级保护要求。</w:t>
      </w:r>
    </w:p>
    <w:p w14:paraId="1F0E90E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2.3供应商应根据服务要求明确成交后投入本项目的管理人员、服务人员、技术人员等信息，并提供相应的佐证材料，未按要求提供的将可能承担不利的评审后果。</w:t>
      </w:r>
    </w:p>
    <w:p w14:paraId="2EA95566">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若要求提供人员社保证明的，应提供提交响应文件截止时间前六个月（不含提交响应文件截止时间的当月）中任一月份供应商为人员缴纳社保的凭据或政府部门出具的证明。提交响应文件截止时间当月成立或享受社保减免政策的供应商，无法提供相关社保缴纳证明材料的，提供依法缴纳社会保障资金承诺书（格式自拟）即可。未按要求提供的不予认可。</w:t>
      </w:r>
    </w:p>
    <w:p w14:paraId="4D278B9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2.5供应商应根据服务要求，制定相应的服务方案，服务方案具体要求详见服务要求。</w:t>
      </w:r>
    </w:p>
    <w:p w14:paraId="438F5CD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2.6供应商成交后不得将本项目转包，否则采购人有权终止合同并追究成交供应商的违约责任。</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77BA7C0C">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宋体" w:hAnsi="宋体" w:eastAsia="宋体"/>
          <w:b/>
          <w:bCs/>
          <w:sz w:val="24"/>
          <w:szCs w:val="28"/>
          <w:lang w:val="en-US" w:eastAsia="zh-CN"/>
        </w:rPr>
        <w:t>、其他服务要求</w:t>
      </w:r>
      <w:r>
        <w:rPr>
          <w:rFonts w:hint="eastAsia" w:asciiTheme="minorEastAsia" w:hAnsiTheme="minorEastAsia" w:eastAsiaTheme="minorEastAsia" w:cstheme="minorEastAsia"/>
          <w:b/>
          <w:bCs/>
          <w:color w:val="auto"/>
          <w:sz w:val="24"/>
          <w:szCs w:val="24"/>
          <w:highlight w:val="none"/>
          <w:lang w:val="en-US" w:eastAsia="zh-CN"/>
        </w:rPr>
        <w:t>：</w:t>
      </w:r>
    </w:p>
    <w:p w14:paraId="394B352D">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default" w:asciiTheme="minorEastAsia" w:hAnsiTheme="minorEastAsia" w:eastAsiaTheme="minorEastAsia" w:cstheme="minorEastAsia"/>
          <w:color w:val="auto"/>
          <w:sz w:val="24"/>
          <w:szCs w:val="24"/>
          <w:highlight w:val="none"/>
          <w:lang w:val="en-US" w:eastAsia="zh-CN"/>
        </w:rPr>
        <w:t>提供每周7天、每天24小时的全天的技术支持热线、硬件设备和软件系统的现场技术支持的服务，全年无休假。</w:t>
      </w:r>
    </w:p>
    <w:p w14:paraId="5C106D01">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r>
        <w:rPr>
          <w:rFonts w:hint="default" w:asciiTheme="minorEastAsia" w:hAnsiTheme="minorEastAsia" w:eastAsiaTheme="minorEastAsia" w:cstheme="minorEastAsia"/>
          <w:color w:val="auto"/>
          <w:sz w:val="24"/>
          <w:szCs w:val="24"/>
          <w:highlight w:val="none"/>
          <w:lang w:val="en-US" w:eastAsia="zh-CN"/>
        </w:rPr>
        <w:t>响应时间：报修电话后30分钟之内响应，对影响院方正常业务运作的故障，应在1个小时内到场，4个小时内处理至能正常工作，否则应在6小时之内提供备用方案，保证系统的正常运作。对不影响院方正常业务运作的故障，2个小时到场，1天之内排除故障，并提供故障处置报告。</w:t>
      </w:r>
    </w:p>
    <w:p w14:paraId="29CA4640">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r>
        <w:rPr>
          <w:rFonts w:hint="default" w:asciiTheme="minorEastAsia" w:hAnsiTheme="minorEastAsia" w:eastAsiaTheme="minorEastAsia" w:cstheme="minorEastAsia"/>
          <w:color w:val="auto"/>
          <w:sz w:val="24"/>
          <w:szCs w:val="24"/>
          <w:highlight w:val="none"/>
          <w:lang w:val="en-US" w:eastAsia="zh-CN"/>
        </w:rPr>
        <w:t>供应商按照本采购项目特点提供长期良好的售后服务，并在响应文件中提供详细具体的售后服务承诺条款及保证。</w:t>
      </w:r>
    </w:p>
    <w:p w14:paraId="1F0A2ED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3.4供应商认为有利于采购人的其他优惠条款应单独列明。</w:t>
      </w:r>
    </w:p>
    <w:p w14:paraId="51711E68">
      <w:pPr>
        <w:pStyle w:val="69"/>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1、服务地点</w:t>
      </w:r>
      <w:r>
        <w:rPr>
          <w:rFonts w:hint="eastAsia" w:ascii="宋体" w:hAnsi="宋体" w:eastAsia="宋体"/>
          <w:sz w:val="24"/>
          <w:szCs w:val="28"/>
          <w:lang w:val="en-US" w:eastAsia="zh-CN"/>
        </w:rPr>
        <w:t>：厦门市杏林医院</w:t>
      </w:r>
    </w:p>
    <w:p w14:paraId="6C173315">
      <w:pPr>
        <w:widowControl/>
        <w:spacing w:line="360" w:lineRule="auto"/>
        <w:ind w:firstLine="482" w:firstLineChars="200"/>
        <w:jc w:val="left"/>
        <w:rPr>
          <w:rFonts w:hint="eastAsia" w:ascii="宋体" w:hAnsi="宋体" w:eastAsia="宋体"/>
          <w:sz w:val="24"/>
          <w:szCs w:val="28"/>
          <w:lang w:val="en-US" w:eastAsia="zh-CN"/>
        </w:rPr>
      </w:pPr>
      <w:r>
        <w:rPr>
          <w:rFonts w:hint="eastAsia" w:ascii="宋体" w:hAnsi="宋体" w:eastAsia="宋体"/>
          <w:b/>
          <w:bCs/>
          <w:sz w:val="24"/>
          <w:szCs w:val="28"/>
          <w:lang w:val="en-US" w:eastAsia="zh-CN"/>
        </w:rPr>
        <w:t>2、服务时间</w:t>
      </w:r>
      <w:r>
        <w:rPr>
          <w:rFonts w:hint="eastAsia" w:ascii="宋体" w:hAnsi="宋体" w:eastAsia="宋体"/>
          <w:sz w:val="24"/>
          <w:szCs w:val="28"/>
          <w:lang w:val="en-US" w:eastAsia="zh-CN"/>
        </w:rPr>
        <w:t>：自域名及云服务租赁业务开通之日起</w:t>
      </w:r>
      <w:r>
        <w:rPr>
          <w:rFonts w:hint="eastAsia" w:ascii="宋体" w:hAnsi="宋体"/>
          <w:sz w:val="24"/>
          <w:szCs w:val="28"/>
          <w:lang w:val="en-US" w:eastAsia="zh-CN"/>
        </w:rPr>
        <w:t>2</w:t>
      </w:r>
      <w:r>
        <w:rPr>
          <w:rFonts w:hint="eastAsia" w:ascii="宋体" w:hAnsi="宋体" w:eastAsia="宋体"/>
          <w:sz w:val="24"/>
          <w:szCs w:val="28"/>
          <w:lang w:val="en-US" w:eastAsia="zh-CN"/>
        </w:rPr>
        <w:t>年</w:t>
      </w:r>
    </w:p>
    <w:p w14:paraId="45FFF1EC">
      <w:pPr>
        <w:widowControl/>
        <w:spacing w:line="360" w:lineRule="auto"/>
        <w:ind w:firstLine="482" w:firstLineChars="200"/>
        <w:jc w:val="left"/>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3、验收方式数据表格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文件、响应文件、合同、国家有关的标准规定及行业标准等，均为验收依据。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、成交供应商的响应文件、合同及国家、省、市有关的标准进行验收。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5、支付方式</w:t>
      </w:r>
    </w:p>
    <w:p w14:paraId="5BAF1A1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5.1供应商履行本服务项目满1年后，供应商提供合同金额50%的发票，采购人在60个日历日内支付合同总金额的50%（凭甲乙双方工程师及使用科室负责人签字的维护保养报告、发票）。</w:t>
      </w:r>
    </w:p>
    <w:p w14:paraId="20421DF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5.2本项目服务期限结束后，供应商提供合同金额50%的发票，采购人在60个日历日内支付合同总金额的50%（凭甲乙双方工程师及使用科室负责人签字的维护保养报告、发票）。</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6.3本项目为交钥匙总包价，响应供应商总报价为完成项目所有可能发生的一切费用，包括域名和云服务租赁费、设备投入使用费、</w:t>
      </w:r>
      <w:r>
        <w:rPr>
          <w:rFonts w:hint="eastAsia" w:ascii="宋体" w:hAnsi="宋体"/>
          <w:sz w:val="24"/>
        </w:rPr>
        <w:t>人员</w:t>
      </w:r>
      <w:r>
        <w:rPr>
          <w:rFonts w:hint="eastAsia" w:asciiTheme="minorEastAsia" w:hAnsiTheme="minorEastAsia" w:eastAsiaTheme="minorEastAsia" w:cstheme="minorEastAsia"/>
          <w:color w:val="auto"/>
          <w:sz w:val="24"/>
          <w:szCs w:val="24"/>
          <w:highlight w:val="none"/>
          <w:lang w:val="en-US" w:eastAsia="zh-CN"/>
        </w:rPr>
        <w:t>费用、</w:t>
      </w:r>
      <w:r>
        <w:rPr>
          <w:rFonts w:hint="eastAsia" w:ascii="宋体" w:hAnsi="宋体"/>
          <w:sz w:val="24"/>
        </w:rPr>
        <w:t>验收费用</w:t>
      </w:r>
      <w:r>
        <w:rPr>
          <w:rFonts w:hint="eastAsia" w:ascii="宋体" w:hAnsi="宋体"/>
          <w:sz w:val="24"/>
          <w:lang w:eastAsia="zh-CN"/>
        </w:rPr>
        <w:t>、</w:t>
      </w:r>
      <w:r>
        <w:rPr>
          <w:rFonts w:hint="eastAsia" w:ascii="宋体" w:hAnsi="宋体"/>
          <w:sz w:val="24"/>
        </w:rPr>
        <w:t>售后服务、</w:t>
      </w:r>
      <w:r>
        <w:rPr>
          <w:rFonts w:hint="eastAsia" w:asciiTheme="minorEastAsia" w:hAnsiTheme="minorEastAsia" w:eastAsiaTheme="minorEastAsia" w:cstheme="minorEastAsia"/>
          <w:color w:val="auto"/>
          <w:sz w:val="24"/>
          <w:szCs w:val="24"/>
          <w:highlight w:val="none"/>
          <w:lang w:val="en-US" w:eastAsia="zh-CN"/>
        </w:rPr>
        <w:t>税费、</w:t>
      </w:r>
      <w:r>
        <w:rPr>
          <w:rFonts w:hint="eastAsia" w:ascii="宋体" w:hAnsi="宋体"/>
          <w:sz w:val="24"/>
          <w:highlight w:val="none"/>
        </w:rPr>
        <w:t>软件开发</w:t>
      </w:r>
      <w:r>
        <w:rPr>
          <w:rFonts w:hint="eastAsia" w:ascii="宋体" w:hAnsi="宋体"/>
          <w:sz w:val="24"/>
          <w:highlight w:val="none"/>
          <w:lang w:eastAsia="zh-CN"/>
        </w:rPr>
        <w:t>升级</w:t>
      </w:r>
      <w:r>
        <w:rPr>
          <w:rFonts w:hint="eastAsia" w:asciiTheme="minorEastAsia" w:hAnsiTheme="minorEastAsia" w:eastAsiaTheme="minorEastAsia" w:cstheme="minorEastAsia"/>
          <w:color w:val="auto"/>
          <w:sz w:val="24"/>
          <w:szCs w:val="24"/>
          <w:highlight w:val="none"/>
          <w:lang w:val="en-US" w:eastAsia="zh-CN"/>
        </w:rPr>
        <w:t>、管理费相关伴随服务等服务期间所可能发生的一切费用。供应商须对此做出书面承诺。</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6.4供应商对本项目只能有一个报价，采购单位不接受有选择的报价。</w:t>
      </w:r>
    </w:p>
    <w:p w14:paraId="47779811">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6.5若供应商最后报价时没有提交明细报价的，则其最后报价单价按以下公式计算：最后报价单价 = 首次报价单价×（最后报价/首次报价），计算结果按四舍五入计算保留至小数点后两位，然后再根据最后报价修正单价。</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7、违约责任</w:t>
      </w:r>
    </w:p>
    <w:p w14:paraId="31172B0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7.1若供应商未按照合同约定的响应时间、解决时间处理故障或完成服务任务，每出现一次，应按照当年度服务费用的10%向院方支付违约金，且院方有权另聘第三方提供维护服务，由此产生的费用由供应商承担。</w:t>
      </w:r>
    </w:p>
    <w:p w14:paraId="13519DC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7.2若因供应商维护原因导致系统故障给院方造成损失（如造成医疗损害、业务中断等），供应商应在院方限定时间内修复系统，同时还应对由此给院方造成的损失承担赔偿责任。限定时间内无法解</w:t>
      </w:r>
      <w:bookmarkStart w:id="8" w:name="_GoBack"/>
      <w:bookmarkEnd w:id="8"/>
      <w:r>
        <w:rPr>
          <w:rFonts w:hint="eastAsia" w:asciiTheme="minorEastAsia" w:hAnsiTheme="minorEastAsia" w:eastAsiaTheme="minorEastAsia" w:cstheme="minorEastAsia"/>
          <w:color w:val="auto"/>
          <w:sz w:val="24"/>
          <w:szCs w:val="24"/>
          <w:highlight w:val="none"/>
          <w:lang w:val="en-US" w:eastAsia="zh-CN"/>
        </w:rPr>
        <w:t>决的，院方有权另聘第三方提供维护服务，由此产生的费用由供应商承担。</w:t>
      </w:r>
    </w:p>
    <w:p w14:paraId="1D4C83A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7.3若供应商擅自转包或分包服务内容，院方有权解除合同，供应商应返还已收取的全部费用，并按照合同总金额的10%向院方支付违约金。</w:t>
      </w:r>
    </w:p>
    <w:p w14:paraId="56A17B5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7.4如因供应商维护人员的原因导致患者医疗信息泄露，供应商应承担由此引发的一切法律责任和经济赔偿，包括但不限于对患者的赔偿、医院因声誉受损造成的损失。</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合同中的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合同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3、当事人一方因不可抗力的原因不能履行合同的，应及时通知对方，以减轻可能给对方造成的损失，并应当在合理期限内提供证明。</w:t>
      </w:r>
    </w:p>
    <w:p w14:paraId="674659BE">
      <w:pPr>
        <w:sectPr>
          <w:pgSz w:w="11906" w:h="16838"/>
          <w:pgMar w:top="1418" w:right="1418" w:bottom="1418" w:left="1418" w:header="851" w:footer="992" w:gutter="0"/>
          <w:cols w:space="720" w:num="1"/>
          <w:titlePg/>
          <w:docGrid w:linePitch="312" w:charSpace="0"/>
        </w:sectPr>
      </w:pPr>
    </w:p>
    <w:bookmarkEnd w:id="0"/>
    <w:bookmarkEnd w:id="1"/>
    <w:p w14:paraId="6990CD78">
      <w:pPr>
        <w:rPr>
          <w:rFonts w:ascii="宋体" w:hAnsi="宋体"/>
          <w:b/>
          <w:color w:val="000000"/>
          <w:sz w:val="24"/>
        </w:rPr>
      </w:pPr>
    </w:p>
    <w:p w14:paraId="7DABD874">
      <w:pPr>
        <w:pStyle w:val="5"/>
        <w:spacing w:before="240" w:after="240"/>
        <w:rPr>
          <w:rFonts w:ascii="宋体" w:hAnsi="宋体"/>
          <w:sz w:val="24"/>
        </w:rPr>
      </w:pPr>
      <w:bookmarkStart w:id="6" w:name="_Toc318096341"/>
      <w:r>
        <w:t>第</w:t>
      </w:r>
      <w:r>
        <w:rPr>
          <w:rFonts w:hint="eastAsia"/>
          <w:lang w:eastAsia="zh-CN"/>
        </w:rPr>
        <w:t>五</w:t>
      </w:r>
      <w:r>
        <w:t>章</w:t>
      </w:r>
      <w:r>
        <w:rPr>
          <w:rFonts w:hint="eastAsia"/>
        </w:rPr>
        <w:t xml:space="preserve">  合同主要条款及格式</w:t>
      </w:r>
      <w:bookmarkEnd w:id="6"/>
    </w:p>
    <w:p w14:paraId="59C4B55E">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编制说明</w:t>
      </w:r>
    </w:p>
    <w:p w14:paraId="27A1A1C4">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1、签订合同应遵守</w:t>
      </w:r>
      <w:r>
        <w:rPr>
          <w:rFonts w:hint="eastAsia" w:cs="宋体" w:asciiTheme="minorEastAsia" w:hAnsiTheme="minorEastAsia" w:eastAsiaTheme="minorEastAsia"/>
          <w:b/>
          <w:bCs/>
          <w:kern w:val="0"/>
          <w:sz w:val="24"/>
        </w:rPr>
        <w:t>民法典合同编</w:t>
      </w:r>
      <w:r>
        <w:rPr>
          <w:rFonts w:cs="宋体" w:asciiTheme="minorEastAsia" w:hAnsiTheme="minorEastAsia" w:eastAsiaTheme="minorEastAsia"/>
          <w:b/>
          <w:bCs/>
          <w:kern w:val="0"/>
          <w:sz w:val="24"/>
        </w:rPr>
        <w:t>。</w:t>
      </w:r>
    </w:p>
    <w:p w14:paraId="7C9448ED">
      <w:pPr>
        <w:widowControl/>
        <w:spacing w:line="360" w:lineRule="auto"/>
        <w:ind w:firstLine="482" w:firstLineChars="200"/>
        <w:jc w:val="left"/>
        <w:rPr>
          <w:rFonts w:cs="宋体" w:asciiTheme="minorEastAsia" w:hAnsiTheme="minorEastAsia" w:eastAsiaTheme="minorEastAsia"/>
          <w:b/>
          <w:bCs/>
          <w:kern w:val="0"/>
          <w:sz w:val="24"/>
        </w:rPr>
      </w:pPr>
      <w:r>
        <w:rPr>
          <w:rFonts w:cs="宋体" w:asciiTheme="minorEastAsia" w:hAnsiTheme="minorEastAsia" w:eastAsiaTheme="minorEastAsia"/>
          <w:b/>
          <w:bCs/>
          <w:kern w:val="0"/>
          <w:sz w:val="24"/>
        </w:rPr>
        <w:t>2、国家有关部门对合同有规范文本的，可使用相应合同文本。</w:t>
      </w:r>
    </w:p>
    <w:p w14:paraId="1AD0EEF8">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3、本章节所附的合同主要条款及格式为参考文本，如果因为项目实际特点不能适用，则可由甲乙双方在合同签订阶段可通过友好协商进行约定。</w:t>
      </w:r>
    </w:p>
    <w:p w14:paraId="57ECB37A">
      <w:pPr>
        <w:widowControl/>
        <w:spacing w:line="360" w:lineRule="auto"/>
        <w:jc w:val="left"/>
        <w:rPr>
          <w:rFonts w:cs="宋体" w:asciiTheme="minorEastAsia" w:hAnsiTheme="minorEastAsia" w:eastAsiaTheme="minorEastAsia"/>
          <w:kern w:val="0"/>
          <w:sz w:val="24"/>
        </w:rPr>
      </w:pPr>
    </w:p>
    <w:p w14:paraId="6021804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w:t>
      </w:r>
      <w:r>
        <w:rPr>
          <w:rFonts w:cs="宋体" w:asciiTheme="minorEastAsia" w:hAnsiTheme="minorEastAsia" w:eastAsiaTheme="minorEastAsia"/>
          <w:kern w:val="0"/>
          <w:sz w:val="24"/>
          <w:u w:val="single"/>
        </w:rPr>
        <w:t>（采购人全称）</w:t>
      </w:r>
    </w:p>
    <w:p w14:paraId="276CDA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乙方：</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成交供应商</w:t>
      </w:r>
      <w:r>
        <w:rPr>
          <w:rFonts w:cs="宋体" w:asciiTheme="minorEastAsia" w:hAnsiTheme="minorEastAsia" w:eastAsiaTheme="minorEastAsia"/>
          <w:kern w:val="0"/>
          <w:sz w:val="24"/>
          <w:u w:val="single"/>
        </w:rPr>
        <w:t>全称）</w:t>
      </w:r>
    </w:p>
    <w:p w14:paraId="0970524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7E94DC5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编号为</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项目（以下简称：“本项目”）的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结果，乙方为</w:t>
      </w:r>
      <w:r>
        <w:rPr>
          <w:rFonts w:hint="eastAsia" w:cs="宋体" w:asciiTheme="minorEastAsia" w:hAnsiTheme="minorEastAsia" w:eastAsiaTheme="minorEastAsia"/>
          <w:kern w:val="0"/>
          <w:sz w:val="24"/>
        </w:rPr>
        <w:t>成交供应商</w:t>
      </w:r>
      <w:r>
        <w:rPr>
          <w:rFonts w:cs="宋体" w:asciiTheme="minorEastAsia" w:hAnsiTheme="minorEastAsia" w:eastAsiaTheme="minorEastAsia"/>
          <w:kern w:val="0"/>
          <w:sz w:val="24"/>
        </w:rPr>
        <w:t>。现经甲乙双方友好协商，就以下事项达成一致并签订本合同：</w:t>
      </w:r>
    </w:p>
    <w:p w14:paraId="39BF2C8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1、下列合同文件是构成本合同不可分割的部分：</w:t>
      </w:r>
    </w:p>
    <w:p w14:paraId="2C01907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1.1合同条款；</w:t>
      </w:r>
    </w:p>
    <w:p w14:paraId="0B9F5D6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p>
    <w:p w14:paraId="75B2106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1.3其他文件或材料：□无。□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01BE50A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2、合同标的</w:t>
      </w:r>
    </w:p>
    <w:p w14:paraId="4B49A89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1BBEC5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3、合同总金额</w:t>
      </w:r>
    </w:p>
    <w:p w14:paraId="4F5BC0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3.1合同总金额为人民币大写：</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元（￥</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73ED538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4、合同标的交付时间、地点和条件</w:t>
      </w:r>
    </w:p>
    <w:p w14:paraId="2924D2D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4.1</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时间：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5B373FC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4.2</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地点：</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2B4ED6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4.3</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人员：</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0720AB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5、合同标的应符合</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文件的规定或约定，具体如下：</w:t>
      </w:r>
    </w:p>
    <w:p w14:paraId="3EB490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42C15A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6、验收</w:t>
      </w:r>
    </w:p>
    <w:p w14:paraId="59F3B42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6.1验收应按照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文件的规定或约定进行，具体如下：</w:t>
      </w:r>
    </w:p>
    <w:p w14:paraId="6209030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6878F8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6.2本项目是否邀请其他</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参与验收：</w:t>
      </w:r>
    </w:p>
    <w:p w14:paraId="021080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□不邀请。□邀请，具体如下：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1C44C67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7、合同款项的支付应按照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文件的规定进行，具体如下：</w:t>
      </w:r>
    </w:p>
    <w:p w14:paraId="544D5CF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（按照实际情况编制填写，可以是表格或文字描述，包括一次性支付或分期支付等）</w:t>
      </w:r>
      <w:r>
        <w:rPr>
          <w:rFonts w:cs="宋体" w:asciiTheme="minorEastAsia" w:hAnsiTheme="minorEastAsia" w:eastAsiaTheme="minorEastAsia"/>
          <w:kern w:val="0"/>
          <w:sz w:val="24"/>
        </w:rPr>
        <w:t>。</w:t>
      </w:r>
    </w:p>
    <w:p w14:paraId="00B1ABD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8、履约保证金</w:t>
      </w:r>
    </w:p>
    <w:p w14:paraId="24B1BEA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□无。□有，具体如下：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65FE64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9、合同有效期</w:t>
      </w:r>
    </w:p>
    <w:p w14:paraId="2278979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53E888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10、违约责任</w:t>
      </w:r>
    </w:p>
    <w:p w14:paraId="59C32A5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343829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11、知识产权</w:t>
      </w:r>
    </w:p>
    <w:p w14:paraId="6DE013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4AB374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11.2若乙方提供的采购标的不符合国家知识产权法律、法规的规定或被有关主管机关认定为假冒伪劣品，则乙方成交资格将被取消；甲方还将按照有关法律、法规和规章的规定进行处理，具体如下：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286DE9F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12、解决争议的方法</w:t>
      </w:r>
    </w:p>
    <w:p w14:paraId="4EDF17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12.1甲、乙双方协商解决。</w:t>
      </w:r>
    </w:p>
    <w:p w14:paraId="0FD859B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12.2若协商解决不成，则通过下列途径之一解决：</w:t>
      </w:r>
    </w:p>
    <w:p w14:paraId="61E8E9F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□提交仲裁委员会仲裁，具体如下：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26C8DF0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□向人民法院提起诉讼，具体如下：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1DF0E4C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13、不可抗力</w:t>
      </w:r>
    </w:p>
    <w:p w14:paraId="2841D73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13.1因不可抗力造成违约的，遭受不可抗力一方应及时向对方通报不能履行或不能完全履行的理由，并在随后取得有关主管机关证明后的</w:t>
      </w:r>
      <w:r>
        <w:rPr>
          <w:rFonts w:cs="Calibri" w:asciiTheme="minorEastAsia" w:hAnsiTheme="minorEastAsia" w:eastAsiaTheme="minorEastAsia"/>
          <w:kern w:val="0"/>
          <w:sz w:val="24"/>
        </w:rPr>
        <w:t>15</w:t>
      </w:r>
      <w:r>
        <w:rPr>
          <w:rFonts w:cs="宋体" w:asciiTheme="minorEastAsia" w:hAnsiTheme="minorEastAsia" w:eastAsiaTheme="minorEastAsia"/>
          <w:kern w:val="0"/>
          <w:sz w:val="24"/>
        </w:rPr>
        <w:t>日内向另一方提供不可抗力发生及持续期间的充分证据。基于以上行为，允许遭受不可抗力一方延期履行、部分履行或不履行合同，并根据情况可部分或全部免于承担违约责任。</w:t>
      </w:r>
    </w:p>
    <w:p w14:paraId="62BA800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4FE4E48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14、合同条款</w:t>
      </w:r>
    </w:p>
    <w:p w14:paraId="06CBD0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056B635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15、其他约定</w:t>
      </w:r>
    </w:p>
    <w:p w14:paraId="33CDE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15.1合同文件与本合同具有同等法律效力。</w:t>
      </w:r>
    </w:p>
    <w:p w14:paraId="2A0F145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15.2本合同未尽事宜，双方可另行补充。</w:t>
      </w:r>
    </w:p>
    <w:p w14:paraId="3E25CB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15.3合同生效：自签订之日起生效。</w:t>
      </w:r>
    </w:p>
    <w:p w14:paraId="11A47C9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15.4本合同一式</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份，经双方授权代表签字并盖章后生效。甲方、乙方各执</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具有同等效力。</w:t>
      </w:r>
    </w:p>
    <w:p w14:paraId="0C5CD9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15.5其他：□无。□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05C55569">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35A6225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0126BD8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                 乙方：</w:t>
      </w:r>
    </w:p>
    <w:p w14:paraId="31F16AD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住所：                 住所：</w:t>
      </w:r>
    </w:p>
    <w:p w14:paraId="246D787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              单位负责人：</w:t>
      </w:r>
    </w:p>
    <w:p w14:paraId="0D5799A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委托代理人：              委托代理人：</w:t>
      </w:r>
    </w:p>
    <w:p w14:paraId="1BDD00E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               联系方法：</w:t>
      </w:r>
    </w:p>
    <w:p w14:paraId="4E88E34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开户银行：               开户银行：</w:t>
      </w:r>
    </w:p>
    <w:p w14:paraId="222D66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账号：                 账号：</w:t>
      </w:r>
    </w:p>
    <w:p w14:paraId="694C9BE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07439FF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签订地点：</w:t>
      </w:r>
      <w:r>
        <w:rPr>
          <w:rFonts w:cs="宋体" w:asciiTheme="minorEastAsia" w:hAnsiTheme="minorEastAsia" w:eastAsiaTheme="minorEastAsia"/>
          <w:kern w:val="0"/>
          <w:sz w:val="24"/>
          <w:u w:val="single"/>
        </w:rPr>
        <w:t>                </w:t>
      </w:r>
    </w:p>
    <w:p w14:paraId="0B97A9BC">
      <w:pPr>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244EF481">
      <w:pPr>
        <w:sectPr>
          <w:pgSz w:w="11906" w:h="16838"/>
          <w:pgMar w:top="1418" w:right="1418" w:bottom="1418" w:left="1418" w:header="851" w:footer="992" w:gutter="0"/>
          <w:cols w:space="720" w:num="1"/>
          <w:titlePg/>
          <w:docGrid w:linePitch="312" w:charSpace="0"/>
        </w:sectPr>
      </w:pPr>
    </w:p>
    <w:p w14:paraId="2CE50021">
      <w:pPr>
        <w:spacing w:beforeLines="100" w:afterLines="100"/>
        <w:jc w:val="center"/>
        <w:rPr>
          <w:rFonts w:hint="eastAsia" w:eastAsia="宋体"/>
          <w:b/>
          <w:sz w:val="32"/>
          <w:szCs w:val="32"/>
          <w:lang w:eastAsia="zh-CN"/>
        </w:rPr>
      </w:pPr>
      <w:r>
        <w:rPr>
          <w:rFonts w:hint="eastAsia"/>
          <w:b/>
          <w:sz w:val="32"/>
          <w:szCs w:val="32"/>
        </w:rPr>
        <w:t>廉政协议书</w:t>
      </w:r>
    </w:p>
    <w:p w14:paraId="7213004C">
      <w:pPr>
        <w:spacing w:line="360" w:lineRule="auto"/>
        <w:ind w:firstLine="480" w:firstLineChars="200"/>
        <w:rPr>
          <w:rFonts w:asciiTheme="minorEastAsia" w:hAnsiTheme="minorEastAsia" w:eastAsiaTheme="minorEastAsia"/>
          <w:sz w:val="24"/>
        </w:rPr>
      </w:pPr>
    </w:p>
    <w:p w14:paraId="7D94EABF">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甲方：厦门市杏林医院</w:t>
      </w:r>
    </w:p>
    <w:p w14:paraId="45D56483">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w:t>
      </w:r>
      <w:r>
        <w:rPr>
          <w:rFonts w:hint="eastAsia" w:asciiTheme="minorEastAsia" w:hAnsiTheme="minorEastAsia" w:eastAsiaTheme="minorEastAsia"/>
          <w:sz w:val="24"/>
          <w:u w:val="single"/>
        </w:rPr>
        <w:t xml:space="preserve">              </w:t>
      </w:r>
    </w:p>
    <w:p w14:paraId="2287A97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为加强廉政建设，从制度上杜绝不廉洁行为，保证</w:t>
      </w:r>
      <w:r>
        <w:rPr>
          <w:rFonts w:hint="eastAsia" w:asciiTheme="minorEastAsia" w:hAnsiTheme="minorEastAsia" w:eastAsiaTheme="minorEastAsia"/>
          <w:sz w:val="24"/>
          <w:lang w:eastAsia="zh-CN"/>
        </w:rPr>
        <w:t>物资供应</w:t>
      </w:r>
      <w:r>
        <w:rPr>
          <w:rFonts w:hint="eastAsia" w:asciiTheme="minorEastAsia" w:hAnsiTheme="minorEastAsia" w:eastAsiaTheme="minorEastAsia"/>
          <w:sz w:val="24"/>
        </w:rPr>
        <w:t>高效优质，保证</w:t>
      </w:r>
      <w:r>
        <w:rPr>
          <w:rFonts w:hint="eastAsia" w:asciiTheme="minorEastAsia" w:hAnsiTheme="minorEastAsia" w:eastAsiaTheme="minorEastAsia"/>
          <w:sz w:val="24"/>
          <w:lang w:eastAsia="zh-CN"/>
        </w:rPr>
        <w:t>项目</w:t>
      </w:r>
      <w:r>
        <w:rPr>
          <w:rFonts w:hint="eastAsia" w:asciiTheme="minorEastAsia" w:hAnsiTheme="minorEastAsia" w:eastAsiaTheme="minorEastAsia"/>
          <w:sz w:val="24"/>
        </w:rPr>
        <w:t>资金的安全和有效使用，维护双方权益。经双方公平自愿，平等协商，特订立本协议书。</w:t>
      </w:r>
    </w:p>
    <w:p w14:paraId="57D2F55B">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第一条 甲乙双方的权利和义务</w:t>
      </w:r>
    </w:p>
    <w:p w14:paraId="31FC049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1.严格遵守党和国家有关法律法规的有关规定。</w:t>
      </w:r>
    </w:p>
    <w:p w14:paraId="231333F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2.严格执行合同文件，自觉按合同办事。</w:t>
      </w:r>
    </w:p>
    <w:p w14:paraId="0776360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3.双方的业务和活动坚持公开、公正、诚信、透明的原则（除法律认定的商业秘密和合同文件另有规定之外），不得损害国家和集体利益，违反</w:t>
      </w:r>
      <w:r>
        <w:rPr>
          <w:rFonts w:hint="eastAsia" w:asciiTheme="minorEastAsia" w:hAnsiTheme="minorEastAsia" w:eastAsiaTheme="minorEastAsia"/>
          <w:sz w:val="24"/>
          <w:lang w:eastAsia="zh-CN"/>
        </w:rPr>
        <w:t>采购</w:t>
      </w:r>
      <w:r>
        <w:rPr>
          <w:rFonts w:hint="eastAsia" w:asciiTheme="minorEastAsia" w:hAnsiTheme="minorEastAsia" w:eastAsiaTheme="minorEastAsia"/>
          <w:sz w:val="24"/>
        </w:rPr>
        <w:t>管理规章制度。</w:t>
      </w:r>
    </w:p>
    <w:p w14:paraId="12C1767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4.建立健全廉政制度，开展廉政教育，公布廉政告示举报电话，监督并认真查处违法违纪行为。</w:t>
      </w:r>
    </w:p>
    <w:p w14:paraId="772D206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5.发现对方在业务活动中有违反廉政规定的行为，有及时提醒对方纠正的权利和义务。</w:t>
      </w:r>
    </w:p>
    <w:p w14:paraId="26D924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6.发现对方严重违反本协议书义务条款的行为，有向其上级有关部门举报、建议给予处理并要求告知处理结果的权利。</w:t>
      </w:r>
    </w:p>
    <w:p w14:paraId="1E2248C1">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  甲方的义务</w:t>
      </w:r>
    </w:p>
    <w:p w14:paraId="34C0BBC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1.甲方工作人员不得索要或接受乙方的礼金、有价证券和贵重物品，不得在乙方处报销任何应由甲方或个人支付的费用等。</w:t>
      </w:r>
    </w:p>
    <w:p w14:paraId="59CF94A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2.甲方工作人员不得参加乙方安排的超标准宴请和娱乐活动；不得接受乙方提供的通讯工具、交通工具和高档办公用品等。</w:t>
      </w:r>
    </w:p>
    <w:p w14:paraId="2185BD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3.甲方工作人员不得要求或者接受乙方为其住房装修、婚丧嫁娶活动、配偶子女的工作安排以及出国出境、旅游等提供方便等。</w:t>
      </w:r>
    </w:p>
    <w:p w14:paraId="4553817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4.甲方工作人员及其配偶、子女不得从事与合同有关的经济活动。</w:t>
      </w:r>
    </w:p>
    <w:p w14:paraId="14AD616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5.甲方工作人员不得向乙方进行吃拿卡要，如有发生可向公司纪委进行举报。</w:t>
      </w:r>
    </w:p>
    <w:p w14:paraId="03180C6E">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第三条  乙方的义务</w:t>
      </w:r>
    </w:p>
    <w:p w14:paraId="50C0DF6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1.乙方不得以任何理由向甲方工作人员行贿或馈赠礼金、有价证券、贵重礼品。</w:t>
      </w:r>
    </w:p>
    <w:p w14:paraId="75B758D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2.乙方不得以任何名义为甲方工作人员报销应由甲方单位或个人支付的任何费用。</w:t>
      </w:r>
    </w:p>
    <w:p w14:paraId="1BB8D93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3.乙方不得以任何理由安排甲方工作人员参加超标准宴请和娱乐活动。</w:t>
      </w:r>
    </w:p>
    <w:p w14:paraId="7E35AFA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4.乙方不得为甲方工作人员购置或提供通讯工具、交通工具和高档办公用品等。</w:t>
      </w:r>
    </w:p>
    <w:p w14:paraId="743C7243">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  违约责任</w:t>
      </w:r>
    </w:p>
    <w:p w14:paraId="76C6128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1.甲方及其工作人员违反本协议书第一、二条，按管理权限，依据有关规定给予党纪、政纪或组织处理；涉嫌犯罪的，移交司法机关追究刑事责任；给乙方单位造成经济损失的，应予以赔偿。</w:t>
      </w:r>
    </w:p>
    <w:p w14:paraId="0B4CC9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及其工作人员违反本协议书第一、三条，按管理权限，依据有关规定给予党纪、政纪或组织处理；给甲方单位造成经济损失的，应予以赔偿；情节严重的，甲方建议行业主管部门给予乙方一至三年内不得进入其主管的行业市场的处罚。</w:t>
      </w:r>
    </w:p>
    <w:p w14:paraId="5D16CC95">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第五条</w:t>
      </w:r>
      <w:r>
        <w:rPr>
          <w:rFonts w:hint="eastAsia" w:asciiTheme="minorEastAsia" w:hAnsiTheme="minorEastAsia" w:eastAsiaTheme="minorEastAsia"/>
          <w:sz w:val="24"/>
        </w:rPr>
        <w:t xml:space="preserve">  本协议书有效期为双方签署之日起至该</w:t>
      </w:r>
      <w:r>
        <w:rPr>
          <w:rFonts w:hint="eastAsia" w:asciiTheme="minorEastAsia" w:hAnsiTheme="minorEastAsia" w:eastAsiaTheme="minorEastAsia"/>
          <w:sz w:val="24"/>
          <w:lang w:eastAsia="zh-CN"/>
        </w:rPr>
        <w:t>供货</w:t>
      </w:r>
      <w:r>
        <w:rPr>
          <w:rFonts w:hint="eastAsia" w:asciiTheme="minorEastAsia" w:hAnsiTheme="minorEastAsia" w:eastAsiaTheme="minorEastAsia"/>
          <w:sz w:val="24"/>
        </w:rPr>
        <w:t>项目的</w:t>
      </w:r>
      <w:r>
        <w:rPr>
          <w:rFonts w:hint="eastAsia" w:asciiTheme="minorEastAsia" w:hAnsiTheme="minorEastAsia" w:eastAsiaTheme="minorEastAsia"/>
          <w:sz w:val="24"/>
          <w:lang w:eastAsia="zh-CN"/>
        </w:rPr>
        <w:t>货物</w:t>
      </w:r>
      <w:r>
        <w:rPr>
          <w:rFonts w:hint="eastAsia" w:asciiTheme="minorEastAsia" w:hAnsiTheme="minorEastAsia" w:eastAsiaTheme="minorEastAsia"/>
          <w:sz w:val="24"/>
        </w:rPr>
        <w:t>验收后止。</w:t>
      </w:r>
    </w:p>
    <w:p w14:paraId="6A7CD8EC">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第六条</w:t>
      </w:r>
      <w:r>
        <w:rPr>
          <w:rFonts w:hint="eastAsia" w:asciiTheme="minorEastAsia" w:hAnsiTheme="minorEastAsia" w:eastAsiaTheme="minorEastAsia"/>
          <w:sz w:val="24"/>
        </w:rPr>
        <w:t xml:space="preserve">  本协议书作为合同组成部分，与合同具有同等的法律效力，经合同双方签署立即生效。</w:t>
      </w:r>
    </w:p>
    <w:p w14:paraId="140AAB70">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第七条</w:t>
      </w:r>
      <w:r>
        <w:rPr>
          <w:rFonts w:hint="eastAsia" w:asciiTheme="minorEastAsia" w:hAnsiTheme="minorEastAsia" w:eastAsiaTheme="minorEastAsia"/>
          <w:sz w:val="24"/>
        </w:rPr>
        <w:t xml:space="preserve">  本协议书正本二份，合同双方各执一份。</w:t>
      </w:r>
    </w:p>
    <w:p w14:paraId="46FE240F">
      <w:pPr>
        <w:spacing w:line="360" w:lineRule="auto"/>
        <w:ind w:firstLine="480" w:firstLineChars="200"/>
        <w:rPr>
          <w:rFonts w:asciiTheme="minorEastAsia" w:hAnsiTheme="minorEastAsia" w:eastAsiaTheme="minorEastAsia"/>
          <w:sz w:val="24"/>
        </w:rPr>
      </w:pPr>
    </w:p>
    <w:p w14:paraId="307B4FC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甲方（盖章） ：            乙方（盖章）：</w:t>
      </w:r>
    </w:p>
    <w:p w14:paraId="3B0F41E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甲方代表：                 乙方代表：          </w:t>
      </w:r>
    </w:p>
    <w:p w14:paraId="4D13DBF3">
      <w:pPr>
        <w:spacing w:line="360" w:lineRule="auto"/>
        <w:ind w:firstLine="480" w:firstLineChars="200"/>
        <w:rPr>
          <w:rFonts w:asciiTheme="minorEastAsia" w:hAnsiTheme="minorEastAsia" w:eastAsiaTheme="minorEastAsia"/>
          <w:sz w:val="24"/>
        </w:rPr>
      </w:pPr>
    </w:p>
    <w:p w14:paraId="64636E94">
      <w:pPr>
        <w:spacing w:line="360" w:lineRule="auto"/>
        <w:ind w:firstLine="480" w:firstLineChars="200"/>
        <w:rPr>
          <w:rFonts w:asciiTheme="minorEastAsia" w:hAnsiTheme="minorEastAsia" w:eastAsiaTheme="minorEastAsia"/>
          <w:sz w:val="24"/>
        </w:rPr>
      </w:pPr>
    </w:p>
    <w:p w14:paraId="0E8BB98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签订日期：   年  月  日</w:t>
      </w:r>
    </w:p>
    <w:p w14:paraId="06AD5BF5">
      <w:r>
        <w:br w:type="page"/>
      </w:r>
    </w:p>
    <w:p w14:paraId="513A0947">
      <w:pPr>
        <w:pStyle w:val="5"/>
        <w:spacing w:before="240" w:after="240"/>
        <w:rPr>
          <w:rFonts w:ascii="宋体" w:hAnsi="宋体"/>
          <w:sz w:val="24"/>
        </w:rPr>
      </w:pPr>
      <w:bookmarkStart w:id="7" w:name="_Toc1460858162"/>
      <w:r>
        <w:t>第</w:t>
      </w:r>
      <w:r>
        <w:rPr>
          <w:rFonts w:hint="eastAsia"/>
          <w:lang w:eastAsia="zh-CN"/>
        </w:rPr>
        <w:t>六</w:t>
      </w:r>
      <w:r>
        <w:t>章</w:t>
      </w:r>
      <w:r>
        <w:rPr>
          <w:rFonts w:hint="eastAsia"/>
        </w:rPr>
        <w:t xml:space="preserve">  响应</w:t>
      </w:r>
      <w:r>
        <w:t>文件格式</w:t>
      </w:r>
      <w:bookmarkEnd w:id="7"/>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694BDDBD">
      <w:pPr>
        <w:sectPr>
          <w:pgSz w:w="11906" w:h="16838"/>
          <w:pgMar w:top="1418" w:right="1418" w:bottom="1418" w:left="1418" w:header="851" w:footer="992" w:gutter="0"/>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03393E11">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44368FA6">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活动，并提交谈判文件规定份数的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根据本函，本供应商代表宣布我方保证遵守谈判文件的全部规定，同时：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1.2我方已详细审查全部谈判文件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，并自行承担因对全部谈判文件理解不正确或误解而产生的相应后果和责任。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2.1我方具备谈判文件第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有效期：按照谈判文件规定执行，并在谈判文件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，将按照谈判文件、我方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文件及采购合同履行责任和义务。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66AE19D2">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r>
        <w:rPr>
          <w:rFonts w:ascii="宋体" w:hAnsi="宋体" w:cs="宋体"/>
          <w:kern w:val="0"/>
          <w:sz w:val="24"/>
        </w:rPr>
        <w:t> </w:t>
      </w:r>
      <w:r>
        <w:rPr>
          <w:rFonts w:hint="eastAsia" w:ascii="宋体" w:hAnsi="宋体" w:cs="宋体"/>
          <w:kern w:val="0"/>
          <w:sz w:val="24"/>
        </w:rPr>
        <w:t xml:space="preserve">                                 </w:t>
      </w:r>
    </w:p>
    <w:p w14:paraId="5F89D2F2">
      <w:pPr>
        <w:spacing w:before="50" w:after="50" w:line="360" w:lineRule="auto"/>
        <w:jc w:val="left"/>
        <w:rPr>
          <w:rFonts w:ascii="宋体" w:hAnsi="宋体" w:cs="宋体"/>
          <w:kern w:val="0"/>
          <w:sz w:val="24"/>
        </w:rPr>
      </w:pPr>
      <w:r>
        <w:rPr>
          <w:rFonts w:ascii="宋体" w:hAnsi="宋体" w:cs="宋体"/>
          <w:kern w:val="0"/>
          <w:sz w:val="24"/>
        </w:rPr>
        <w:t>货币单位：元人民币</w:t>
      </w:r>
    </w:p>
    <w:tbl>
      <w:tblPr>
        <w:tblStyle w:val="42"/>
        <w:tblW w:w="47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1940"/>
        <w:gridCol w:w="952"/>
        <w:gridCol w:w="1074"/>
        <w:gridCol w:w="1248"/>
        <w:gridCol w:w="1239"/>
        <w:gridCol w:w="1500"/>
      </w:tblGrid>
      <w:tr w14:paraId="22FB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pacing w:line="360" w:lineRule="auto"/>
              <w:rPr>
                <w:rFonts w:hint="eastAsia" w:ascii="宋体" w:hAnsi="宋体" w:eastAsia="宋体" w:cs="宋体"/>
                <w:sz w:val="24"/>
              </w:rPr>
            </w:pPr>
            <w:r>
              <w:rPr>
                <w:rFonts w:hint="eastAsia" w:ascii="宋体" w:hAnsi="宋体" w:eastAsia="宋体" w:cs="宋体"/>
                <w:sz w:val="24"/>
                <w:lang w:val="en-US" w:eastAsia="zh-CN"/>
              </w:rPr>
              <w:t>序号</w:t>
            </w:r>
          </w:p>
        </w:tc>
        <w:tc>
          <w:tcPr>
            <w:tcW w:w="1105" w:type="pct"/>
            <w:tcBorders>
              <w:top w:val="single" w:color="000000" w:sz="8" w:space="0"/>
              <w:left w:val="nil"/>
              <w:bottom w:val="single" w:color="000000" w:sz="8" w:space="0"/>
              <w:right w:val="single" w:color="000000" w:sz="8" w:space="0"/>
            </w:tcBorders>
            <w:shd w:val="clear" w:color="auto" w:fill="auto"/>
            <w:vAlign w:val="center"/>
          </w:tcPr>
          <w:p w14:paraId="7C7DE067">
            <w:pPr>
              <w:spacing w:line="360" w:lineRule="auto"/>
              <w:rPr>
                <w:rFonts w:hint="eastAsia" w:ascii="宋体" w:hAnsi="宋体" w:eastAsia="宋体" w:cs="宋体"/>
                <w:sz w:val="24"/>
              </w:rPr>
            </w:pPr>
            <w:r>
              <w:rPr>
                <w:rFonts w:hint="eastAsia" w:ascii="宋体" w:hAnsi="宋体" w:eastAsia="宋体" w:cs="宋体"/>
                <w:sz w:val="24"/>
                <w:lang w:val="en-US" w:eastAsia="zh-CN"/>
              </w:rPr>
              <w:t>项目名称</w:t>
            </w:r>
          </w:p>
        </w:tc>
        <w:tc>
          <w:tcPr>
            <w:tcW w:w="542" w:type="pct"/>
            <w:tcBorders>
              <w:top w:val="single" w:color="000000" w:sz="8" w:space="0"/>
              <w:left w:val="nil"/>
              <w:bottom w:val="single" w:color="000000" w:sz="8" w:space="0"/>
              <w:right w:val="single" w:color="000000" w:sz="8" w:space="0"/>
            </w:tcBorders>
            <w:shd w:val="clear" w:color="auto" w:fill="auto"/>
            <w:vAlign w:val="center"/>
          </w:tcPr>
          <w:p w14:paraId="51E8CEE0">
            <w:pPr>
              <w:spacing w:line="360" w:lineRule="auto"/>
              <w:rPr>
                <w:rFonts w:hint="eastAsia" w:ascii="宋体" w:hAnsi="宋体" w:eastAsia="宋体" w:cs="宋体"/>
                <w:sz w:val="24"/>
              </w:rPr>
            </w:pPr>
            <w:r>
              <w:rPr>
                <w:rFonts w:hint="eastAsia" w:ascii="宋体" w:hAnsi="宋体" w:eastAsia="宋体" w:cs="宋体"/>
                <w:sz w:val="24"/>
                <w:lang w:val="en-US" w:eastAsia="zh-CN"/>
              </w:rPr>
              <w:t>数量</w:t>
            </w:r>
          </w:p>
        </w:tc>
        <w:tc>
          <w:tcPr>
            <w:tcW w:w="612" w:type="pct"/>
            <w:tcBorders>
              <w:top w:val="single" w:color="000000" w:sz="8" w:space="0"/>
              <w:left w:val="nil"/>
              <w:bottom w:val="single" w:color="000000" w:sz="8" w:space="0"/>
              <w:right w:val="single" w:color="000000" w:sz="8" w:space="0"/>
            </w:tcBorders>
            <w:shd w:val="clear" w:color="auto" w:fill="auto"/>
            <w:vAlign w:val="center"/>
          </w:tcPr>
          <w:p w14:paraId="568BC933">
            <w:pPr>
              <w:spacing w:line="360" w:lineRule="auto"/>
              <w:rPr>
                <w:rFonts w:hint="eastAsia" w:ascii="宋体" w:hAnsi="宋体" w:eastAsia="宋体" w:cs="宋体"/>
                <w:sz w:val="24"/>
                <w:lang w:eastAsia="zh-CN"/>
              </w:rPr>
            </w:pPr>
            <w:r>
              <w:rPr>
                <w:rFonts w:hint="eastAsia" w:ascii="宋体" w:hAnsi="宋体" w:eastAsia="宋体" w:cs="宋体"/>
                <w:sz w:val="24"/>
                <w:lang w:eastAsia="zh-CN"/>
              </w:rPr>
              <w:t>单位</w:t>
            </w:r>
          </w:p>
        </w:tc>
        <w:tc>
          <w:tcPr>
            <w:tcW w:w="711" w:type="pct"/>
            <w:tcBorders>
              <w:top w:val="single" w:color="000000" w:sz="8" w:space="0"/>
              <w:left w:val="nil"/>
              <w:bottom w:val="single" w:color="000000" w:sz="8" w:space="0"/>
              <w:right w:val="single" w:color="000000" w:sz="8" w:space="0"/>
            </w:tcBorders>
            <w:shd w:val="clear" w:color="auto" w:fill="auto"/>
            <w:vAlign w:val="center"/>
          </w:tcPr>
          <w:p w14:paraId="2A4F143E">
            <w:pPr>
              <w:spacing w:line="360" w:lineRule="auto"/>
              <w:rPr>
                <w:rFonts w:hint="eastAsia" w:ascii="宋体" w:hAnsi="宋体" w:eastAsia="宋体" w:cs="宋体"/>
                <w:sz w:val="24"/>
                <w:lang w:val="en-US" w:eastAsia="zh-CN"/>
              </w:rPr>
            </w:pPr>
            <w:r>
              <w:rPr>
                <w:rFonts w:hint="eastAsia" w:ascii="宋体" w:hAnsi="宋体" w:eastAsia="宋体" w:cs="宋体"/>
                <w:sz w:val="24"/>
              </w:rPr>
              <w:t>单价报价</w:t>
            </w:r>
            <w:r>
              <w:rPr>
                <w:rFonts w:hint="eastAsia" w:ascii="宋体" w:hAnsi="宋体" w:eastAsia="宋体" w:cs="宋体"/>
                <w:sz w:val="24"/>
              </w:rPr>
              <w:br w:type="textWrapping"/>
            </w:r>
            <w:r>
              <w:rPr>
                <w:rFonts w:hint="eastAsia" w:ascii="宋体" w:hAnsi="宋体" w:eastAsia="宋体" w:cs="宋体"/>
                <w:sz w:val="24"/>
              </w:rPr>
              <w:t>（元）</w:t>
            </w:r>
          </w:p>
        </w:tc>
        <w:tc>
          <w:tcPr>
            <w:tcW w:w="706" w:type="pct"/>
            <w:tcBorders>
              <w:top w:val="single" w:color="000000" w:sz="8" w:space="0"/>
              <w:left w:val="nil"/>
              <w:bottom w:val="single" w:color="000000" w:sz="8" w:space="0"/>
              <w:right w:val="single" w:color="000000" w:sz="8" w:space="0"/>
            </w:tcBorders>
            <w:shd w:val="clear" w:color="auto" w:fill="auto"/>
            <w:vAlign w:val="center"/>
          </w:tcPr>
          <w:p w14:paraId="2674BA24">
            <w:pPr>
              <w:spacing w:line="360" w:lineRule="auto"/>
              <w:rPr>
                <w:rFonts w:hint="eastAsia" w:ascii="宋体" w:hAnsi="宋体" w:eastAsia="宋体" w:cs="宋体"/>
                <w:sz w:val="24"/>
              </w:rPr>
            </w:pPr>
            <w:r>
              <w:rPr>
                <w:rFonts w:hint="eastAsia" w:ascii="宋体" w:hAnsi="宋体" w:eastAsia="宋体" w:cs="宋体"/>
                <w:sz w:val="24"/>
                <w:lang w:val="en-US" w:eastAsia="zh-CN"/>
              </w:rPr>
              <w:t>合计</w:t>
            </w:r>
            <w:r>
              <w:rPr>
                <w:rFonts w:hint="eastAsia" w:ascii="宋体" w:hAnsi="宋体" w:eastAsia="宋体" w:cs="宋体"/>
                <w:sz w:val="24"/>
              </w:rPr>
              <w:t>费用</w:t>
            </w:r>
            <w:r>
              <w:rPr>
                <w:rFonts w:hint="eastAsia" w:ascii="宋体" w:hAnsi="宋体" w:eastAsia="宋体" w:cs="宋体"/>
                <w:sz w:val="24"/>
              </w:rPr>
              <w:br w:type="textWrapping"/>
            </w:r>
            <w:r>
              <w:rPr>
                <w:rFonts w:hint="eastAsia" w:ascii="宋体" w:hAnsi="宋体" w:eastAsia="宋体" w:cs="宋体"/>
                <w:sz w:val="24"/>
              </w:rPr>
              <w:t>（元）</w:t>
            </w:r>
          </w:p>
        </w:tc>
        <w:tc>
          <w:tcPr>
            <w:tcW w:w="854" w:type="pct"/>
            <w:tcBorders>
              <w:top w:val="single" w:color="000000" w:sz="8" w:space="0"/>
              <w:left w:val="nil"/>
              <w:bottom w:val="single" w:color="000000" w:sz="8" w:space="0"/>
              <w:right w:val="single" w:color="000000" w:sz="8" w:space="0"/>
            </w:tcBorders>
            <w:shd w:val="clear" w:color="auto" w:fill="auto"/>
            <w:vAlign w:val="center"/>
          </w:tcPr>
          <w:p w14:paraId="38D38C8D">
            <w:pPr>
              <w:spacing w:line="360" w:lineRule="auto"/>
              <w:rPr>
                <w:rFonts w:hint="eastAsia" w:ascii="宋体" w:hAnsi="宋体" w:eastAsia="宋体" w:cs="宋体"/>
                <w:sz w:val="24"/>
                <w:lang w:val="en-US" w:eastAsia="zh-CN"/>
              </w:rPr>
            </w:pPr>
            <w:r>
              <w:rPr>
                <w:rFonts w:hint="eastAsia" w:ascii="宋体" w:hAnsi="宋体" w:eastAsia="宋体" w:cs="宋体"/>
                <w:sz w:val="24"/>
              </w:rPr>
              <w:t>备注</w:t>
            </w:r>
          </w:p>
        </w:tc>
      </w:tr>
      <w:tr w14:paraId="2AD5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578E6467">
            <w:pPr>
              <w:spacing w:line="360" w:lineRule="auto"/>
              <w:rPr>
                <w:rFonts w:hint="eastAsia" w:ascii="宋体" w:hAnsi="宋体" w:eastAsia="宋体" w:cs="宋体"/>
                <w:sz w:val="24"/>
              </w:rPr>
            </w:pPr>
            <w:r>
              <w:rPr>
                <w:rFonts w:hint="eastAsia" w:ascii="宋体" w:hAnsi="宋体" w:eastAsia="宋体" w:cs="宋体"/>
                <w:sz w:val="24"/>
                <w:lang w:val="en-US" w:eastAsia="zh-CN"/>
              </w:rPr>
              <w:t>1</w:t>
            </w:r>
          </w:p>
        </w:tc>
        <w:tc>
          <w:tcPr>
            <w:tcW w:w="1105" w:type="pct"/>
            <w:tcBorders>
              <w:top w:val="nil"/>
              <w:left w:val="nil"/>
              <w:bottom w:val="single" w:color="000000" w:sz="8" w:space="0"/>
              <w:right w:val="single" w:color="000000" w:sz="8" w:space="0"/>
            </w:tcBorders>
            <w:shd w:val="clear" w:color="auto" w:fill="auto"/>
            <w:vAlign w:val="center"/>
          </w:tcPr>
          <w:p w14:paraId="073C8A0E">
            <w:pPr>
              <w:spacing w:line="360" w:lineRule="auto"/>
              <w:rPr>
                <w:rFonts w:hint="eastAsia" w:ascii="宋体" w:hAnsi="宋体" w:eastAsia="宋体" w:cs="宋体"/>
                <w:sz w:val="24"/>
              </w:rPr>
            </w:pPr>
            <w:r>
              <w:rPr>
                <w:rFonts w:hint="eastAsia" w:ascii="宋体" w:hAnsi="宋体" w:eastAsia="宋体" w:cs="宋体"/>
                <w:sz w:val="24"/>
                <w:lang w:val="en-US" w:eastAsia="zh-CN"/>
              </w:rPr>
              <w:t>云安全防护服务</w:t>
            </w:r>
          </w:p>
        </w:tc>
        <w:tc>
          <w:tcPr>
            <w:tcW w:w="542" w:type="pct"/>
            <w:tcBorders>
              <w:top w:val="nil"/>
              <w:left w:val="nil"/>
              <w:bottom w:val="single" w:color="000000" w:sz="8" w:space="0"/>
              <w:right w:val="single" w:color="000000" w:sz="8" w:space="0"/>
            </w:tcBorders>
            <w:shd w:val="clear" w:color="auto" w:fill="auto"/>
            <w:vAlign w:val="center"/>
          </w:tcPr>
          <w:p w14:paraId="3C9CD64C">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24</w:t>
            </w:r>
          </w:p>
        </w:tc>
        <w:tc>
          <w:tcPr>
            <w:tcW w:w="612" w:type="pct"/>
            <w:tcBorders>
              <w:top w:val="nil"/>
              <w:left w:val="nil"/>
              <w:bottom w:val="single" w:color="000000" w:sz="8" w:space="0"/>
              <w:right w:val="single" w:color="000000" w:sz="8" w:space="0"/>
            </w:tcBorders>
            <w:shd w:val="clear" w:color="auto" w:fill="auto"/>
            <w:vAlign w:val="center"/>
          </w:tcPr>
          <w:p w14:paraId="7B88725D">
            <w:pPr>
              <w:spacing w:line="360" w:lineRule="auto"/>
              <w:rPr>
                <w:rFonts w:hint="eastAsia" w:ascii="宋体" w:hAnsi="宋体" w:eastAsia="宋体" w:cs="宋体"/>
                <w:sz w:val="24"/>
                <w:lang w:eastAsia="zh-CN"/>
              </w:rPr>
            </w:pPr>
            <w:r>
              <w:rPr>
                <w:rFonts w:hint="eastAsia" w:ascii="宋体" w:hAnsi="宋体" w:eastAsia="宋体" w:cs="宋体"/>
                <w:sz w:val="24"/>
                <w:lang w:eastAsia="zh-CN"/>
              </w:rPr>
              <w:t>月</w:t>
            </w:r>
          </w:p>
        </w:tc>
        <w:tc>
          <w:tcPr>
            <w:tcW w:w="711" w:type="pct"/>
            <w:tcBorders>
              <w:top w:val="nil"/>
              <w:left w:val="nil"/>
              <w:bottom w:val="single" w:color="000000" w:sz="8" w:space="0"/>
              <w:right w:val="single" w:color="000000" w:sz="8" w:space="0"/>
            </w:tcBorders>
            <w:shd w:val="clear" w:color="auto" w:fill="auto"/>
            <w:vAlign w:val="center"/>
          </w:tcPr>
          <w:p w14:paraId="13AD05CC">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0805EEFD">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7FC509B7">
            <w:pPr>
              <w:spacing w:line="360" w:lineRule="auto"/>
              <w:rPr>
                <w:rFonts w:hint="eastAsia" w:ascii="宋体" w:hAnsi="宋体" w:eastAsia="宋体" w:cs="宋体"/>
                <w:sz w:val="24"/>
              </w:rPr>
            </w:pPr>
          </w:p>
        </w:tc>
      </w:tr>
      <w:tr w14:paraId="06AB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71CB2ACF">
            <w:pPr>
              <w:spacing w:line="360" w:lineRule="auto"/>
              <w:rPr>
                <w:rFonts w:hint="eastAsia" w:ascii="宋体" w:hAnsi="宋体" w:eastAsia="宋体" w:cs="宋体"/>
                <w:sz w:val="24"/>
              </w:rPr>
            </w:pPr>
            <w:r>
              <w:rPr>
                <w:rFonts w:hint="eastAsia" w:ascii="宋体" w:hAnsi="宋体" w:eastAsia="宋体" w:cs="宋体"/>
                <w:sz w:val="24"/>
                <w:lang w:val="en-US" w:eastAsia="zh-CN"/>
              </w:rPr>
              <w:t>2</w:t>
            </w:r>
          </w:p>
        </w:tc>
        <w:tc>
          <w:tcPr>
            <w:tcW w:w="1105" w:type="pct"/>
            <w:tcBorders>
              <w:top w:val="nil"/>
              <w:left w:val="nil"/>
              <w:bottom w:val="single" w:color="000000" w:sz="8" w:space="0"/>
              <w:right w:val="single" w:color="000000" w:sz="8" w:space="0"/>
            </w:tcBorders>
            <w:shd w:val="clear" w:color="auto" w:fill="auto"/>
            <w:vAlign w:val="center"/>
          </w:tcPr>
          <w:p w14:paraId="46151370">
            <w:pPr>
              <w:spacing w:line="360" w:lineRule="auto"/>
              <w:rPr>
                <w:rFonts w:hint="eastAsia" w:ascii="宋体" w:hAnsi="宋体" w:eastAsia="宋体" w:cs="宋体"/>
                <w:sz w:val="24"/>
              </w:rPr>
            </w:pPr>
            <w:r>
              <w:rPr>
                <w:rFonts w:hint="eastAsia" w:ascii="宋体" w:hAnsi="宋体" w:eastAsia="宋体" w:cs="宋体"/>
                <w:sz w:val="24"/>
                <w:lang w:val="en-US" w:eastAsia="zh-CN"/>
              </w:rPr>
              <w:t>云计算资源服务</w:t>
            </w:r>
          </w:p>
        </w:tc>
        <w:tc>
          <w:tcPr>
            <w:tcW w:w="542" w:type="pct"/>
            <w:tcBorders>
              <w:top w:val="nil"/>
              <w:left w:val="nil"/>
              <w:bottom w:val="single" w:color="000000" w:sz="8" w:space="0"/>
              <w:right w:val="single" w:color="000000" w:sz="8" w:space="0"/>
            </w:tcBorders>
            <w:shd w:val="clear" w:color="auto" w:fill="auto"/>
            <w:vAlign w:val="center"/>
          </w:tcPr>
          <w:p w14:paraId="6FED64E2">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24</w:t>
            </w:r>
          </w:p>
        </w:tc>
        <w:tc>
          <w:tcPr>
            <w:tcW w:w="612" w:type="pct"/>
            <w:tcBorders>
              <w:top w:val="nil"/>
              <w:left w:val="nil"/>
              <w:bottom w:val="single" w:color="000000" w:sz="8" w:space="0"/>
              <w:right w:val="single" w:color="000000" w:sz="8" w:space="0"/>
            </w:tcBorders>
            <w:shd w:val="clear" w:color="auto" w:fill="auto"/>
            <w:vAlign w:val="center"/>
          </w:tcPr>
          <w:p w14:paraId="066C6E61">
            <w:pPr>
              <w:spacing w:line="360" w:lineRule="auto"/>
              <w:rPr>
                <w:rFonts w:hint="eastAsia" w:ascii="宋体" w:hAnsi="宋体" w:eastAsia="宋体" w:cs="宋体"/>
                <w:sz w:val="24"/>
                <w:lang w:eastAsia="zh-CN"/>
              </w:rPr>
            </w:pPr>
            <w:r>
              <w:rPr>
                <w:rFonts w:hint="eastAsia" w:ascii="宋体" w:hAnsi="宋体" w:eastAsia="宋体" w:cs="宋体"/>
                <w:sz w:val="24"/>
                <w:lang w:eastAsia="zh-CN"/>
              </w:rPr>
              <w:t>月</w:t>
            </w:r>
          </w:p>
        </w:tc>
        <w:tc>
          <w:tcPr>
            <w:tcW w:w="711" w:type="pct"/>
            <w:tcBorders>
              <w:top w:val="nil"/>
              <w:left w:val="nil"/>
              <w:bottom w:val="single" w:color="000000" w:sz="8" w:space="0"/>
              <w:right w:val="single" w:color="000000" w:sz="8" w:space="0"/>
            </w:tcBorders>
            <w:shd w:val="clear" w:color="auto" w:fill="auto"/>
            <w:vAlign w:val="center"/>
          </w:tcPr>
          <w:p w14:paraId="7D5C718D">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437BC18C">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3ABD6951">
            <w:pPr>
              <w:spacing w:line="360" w:lineRule="auto"/>
              <w:rPr>
                <w:rFonts w:hint="eastAsia" w:ascii="宋体" w:hAnsi="宋体" w:eastAsia="宋体" w:cs="宋体"/>
                <w:sz w:val="24"/>
              </w:rPr>
            </w:pPr>
          </w:p>
        </w:tc>
      </w:tr>
      <w:tr w14:paraId="0D4E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28845CDC">
            <w:pPr>
              <w:spacing w:line="360" w:lineRule="auto"/>
              <w:rPr>
                <w:rFonts w:hint="eastAsia" w:ascii="宋体" w:hAnsi="宋体" w:eastAsia="宋体" w:cs="宋体"/>
                <w:sz w:val="24"/>
              </w:rPr>
            </w:pPr>
            <w:r>
              <w:rPr>
                <w:rFonts w:hint="eastAsia" w:ascii="宋体" w:hAnsi="宋体" w:eastAsia="宋体" w:cs="宋体"/>
                <w:sz w:val="24"/>
                <w:lang w:val="en-US" w:eastAsia="zh-CN"/>
              </w:rPr>
              <w:t>3</w:t>
            </w:r>
          </w:p>
        </w:tc>
        <w:tc>
          <w:tcPr>
            <w:tcW w:w="1105" w:type="pct"/>
            <w:tcBorders>
              <w:top w:val="nil"/>
              <w:left w:val="nil"/>
              <w:bottom w:val="single" w:color="000000" w:sz="8" w:space="0"/>
              <w:right w:val="single" w:color="000000" w:sz="8" w:space="0"/>
            </w:tcBorders>
            <w:shd w:val="clear" w:color="auto" w:fill="auto"/>
            <w:vAlign w:val="center"/>
          </w:tcPr>
          <w:p w14:paraId="5F6108B2">
            <w:pPr>
              <w:spacing w:line="360" w:lineRule="auto"/>
              <w:rPr>
                <w:rFonts w:hint="eastAsia" w:ascii="宋体" w:hAnsi="宋体" w:eastAsia="宋体" w:cs="宋体"/>
                <w:sz w:val="24"/>
              </w:rPr>
            </w:pPr>
            <w:r>
              <w:rPr>
                <w:rFonts w:hint="eastAsia" w:ascii="宋体" w:hAnsi="宋体" w:eastAsia="宋体" w:cs="宋体"/>
                <w:sz w:val="24"/>
                <w:lang w:val="en-US" w:eastAsia="zh-CN"/>
              </w:rPr>
              <w:t>SSL证书服务</w:t>
            </w:r>
          </w:p>
        </w:tc>
        <w:tc>
          <w:tcPr>
            <w:tcW w:w="542" w:type="pct"/>
            <w:tcBorders>
              <w:top w:val="nil"/>
              <w:left w:val="nil"/>
              <w:bottom w:val="single" w:color="000000" w:sz="8" w:space="0"/>
              <w:right w:val="single" w:color="000000" w:sz="8" w:space="0"/>
            </w:tcBorders>
            <w:shd w:val="clear" w:color="auto" w:fill="auto"/>
            <w:vAlign w:val="center"/>
          </w:tcPr>
          <w:p w14:paraId="3A6B1512">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w:t>
            </w:r>
          </w:p>
        </w:tc>
        <w:tc>
          <w:tcPr>
            <w:tcW w:w="612" w:type="pct"/>
            <w:tcBorders>
              <w:top w:val="nil"/>
              <w:left w:val="nil"/>
              <w:bottom w:val="single" w:color="000000" w:sz="8" w:space="0"/>
              <w:right w:val="single" w:color="000000" w:sz="8" w:space="0"/>
            </w:tcBorders>
            <w:shd w:val="clear" w:color="auto" w:fill="auto"/>
            <w:vAlign w:val="center"/>
          </w:tcPr>
          <w:p w14:paraId="242D72CC">
            <w:pPr>
              <w:spacing w:line="360" w:lineRule="auto"/>
              <w:rPr>
                <w:rFonts w:hint="eastAsia" w:ascii="宋体" w:hAnsi="宋体" w:eastAsia="宋体" w:cs="宋体"/>
                <w:sz w:val="24"/>
                <w:lang w:eastAsia="zh-CN"/>
              </w:rPr>
            </w:pPr>
            <w:r>
              <w:rPr>
                <w:rFonts w:hint="eastAsia" w:ascii="宋体" w:hAnsi="宋体" w:eastAsia="宋体" w:cs="宋体"/>
                <w:sz w:val="24"/>
                <w:lang w:eastAsia="zh-CN"/>
              </w:rPr>
              <w:t>年</w:t>
            </w:r>
          </w:p>
        </w:tc>
        <w:tc>
          <w:tcPr>
            <w:tcW w:w="711" w:type="pct"/>
            <w:tcBorders>
              <w:top w:val="nil"/>
              <w:left w:val="nil"/>
              <w:bottom w:val="single" w:color="000000" w:sz="8" w:space="0"/>
              <w:right w:val="single" w:color="000000" w:sz="8" w:space="0"/>
            </w:tcBorders>
            <w:shd w:val="clear" w:color="auto" w:fill="auto"/>
            <w:vAlign w:val="center"/>
          </w:tcPr>
          <w:p w14:paraId="6139B9D2">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61770AE6">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2CE6E884">
            <w:pPr>
              <w:spacing w:line="360" w:lineRule="auto"/>
              <w:rPr>
                <w:rFonts w:hint="eastAsia" w:ascii="宋体" w:hAnsi="宋体" w:eastAsia="宋体" w:cs="宋体"/>
                <w:sz w:val="24"/>
              </w:rPr>
            </w:pPr>
          </w:p>
        </w:tc>
      </w:tr>
      <w:tr w14:paraId="0D37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518E95DE">
            <w:pPr>
              <w:spacing w:line="360" w:lineRule="auto"/>
              <w:rPr>
                <w:rFonts w:hint="eastAsia" w:ascii="宋体" w:hAnsi="宋体" w:eastAsia="宋体" w:cs="宋体"/>
                <w:sz w:val="24"/>
              </w:rPr>
            </w:pPr>
            <w:r>
              <w:rPr>
                <w:rFonts w:hint="eastAsia" w:ascii="宋体" w:hAnsi="宋体" w:eastAsia="宋体" w:cs="宋体"/>
                <w:sz w:val="24"/>
                <w:lang w:val="en-US" w:eastAsia="zh-CN"/>
              </w:rPr>
              <w:t>4</w:t>
            </w:r>
          </w:p>
        </w:tc>
        <w:tc>
          <w:tcPr>
            <w:tcW w:w="1105" w:type="pct"/>
            <w:tcBorders>
              <w:top w:val="nil"/>
              <w:left w:val="nil"/>
              <w:bottom w:val="single" w:color="000000" w:sz="8" w:space="0"/>
              <w:right w:val="single" w:color="000000" w:sz="8" w:space="0"/>
            </w:tcBorders>
            <w:shd w:val="clear" w:color="auto" w:fill="auto"/>
            <w:vAlign w:val="center"/>
          </w:tcPr>
          <w:p w14:paraId="4AB7C21E">
            <w:pPr>
              <w:spacing w:line="360" w:lineRule="auto"/>
              <w:rPr>
                <w:rFonts w:hint="eastAsia" w:ascii="宋体" w:hAnsi="宋体" w:eastAsia="宋体" w:cs="宋体"/>
                <w:sz w:val="24"/>
              </w:rPr>
            </w:pPr>
            <w:r>
              <w:rPr>
                <w:rFonts w:hint="eastAsia" w:ascii="宋体" w:hAnsi="宋体" w:eastAsia="宋体" w:cs="宋体"/>
                <w:sz w:val="24"/>
                <w:lang w:val="en-US" w:eastAsia="zh-CN"/>
              </w:rPr>
              <w:t>顶级域名</w:t>
            </w:r>
          </w:p>
        </w:tc>
        <w:tc>
          <w:tcPr>
            <w:tcW w:w="542" w:type="pct"/>
            <w:tcBorders>
              <w:top w:val="nil"/>
              <w:left w:val="nil"/>
              <w:bottom w:val="single" w:color="000000" w:sz="8" w:space="0"/>
              <w:right w:val="single" w:color="000000" w:sz="8" w:space="0"/>
            </w:tcBorders>
            <w:shd w:val="clear" w:color="auto" w:fill="auto"/>
            <w:vAlign w:val="center"/>
          </w:tcPr>
          <w:p w14:paraId="0283CD0B">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w:t>
            </w:r>
          </w:p>
        </w:tc>
        <w:tc>
          <w:tcPr>
            <w:tcW w:w="612" w:type="pct"/>
            <w:tcBorders>
              <w:top w:val="nil"/>
              <w:left w:val="nil"/>
              <w:bottom w:val="single" w:color="000000" w:sz="8" w:space="0"/>
              <w:right w:val="single" w:color="000000" w:sz="8" w:space="0"/>
            </w:tcBorders>
            <w:shd w:val="clear" w:color="auto" w:fill="auto"/>
            <w:vAlign w:val="center"/>
          </w:tcPr>
          <w:p w14:paraId="74F67F2A">
            <w:pPr>
              <w:spacing w:line="360" w:lineRule="auto"/>
              <w:rPr>
                <w:rFonts w:hint="eastAsia" w:ascii="宋体" w:hAnsi="宋体" w:eastAsia="宋体" w:cs="宋体"/>
                <w:sz w:val="24"/>
                <w:lang w:eastAsia="zh-CN"/>
              </w:rPr>
            </w:pPr>
            <w:r>
              <w:rPr>
                <w:rFonts w:hint="eastAsia" w:ascii="宋体" w:hAnsi="宋体" w:eastAsia="宋体" w:cs="宋体"/>
                <w:sz w:val="24"/>
                <w:lang w:eastAsia="zh-CN"/>
              </w:rPr>
              <w:t>年</w:t>
            </w:r>
          </w:p>
        </w:tc>
        <w:tc>
          <w:tcPr>
            <w:tcW w:w="711" w:type="pct"/>
            <w:tcBorders>
              <w:top w:val="nil"/>
              <w:left w:val="nil"/>
              <w:bottom w:val="single" w:color="000000" w:sz="8" w:space="0"/>
              <w:right w:val="single" w:color="000000" w:sz="8" w:space="0"/>
            </w:tcBorders>
            <w:shd w:val="clear" w:color="auto" w:fill="auto"/>
            <w:vAlign w:val="center"/>
          </w:tcPr>
          <w:p w14:paraId="04AACBD8">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3AC4D895">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7CDA49D9">
            <w:pPr>
              <w:spacing w:line="360" w:lineRule="auto"/>
              <w:rPr>
                <w:rFonts w:hint="eastAsia" w:ascii="宋体" w:hAnsi="宋体" w:eastAsia="宋体" w:cs="宋体"/>
                <w:sz w:val="24"/>
              </w:rPr>
            </w:pPr>
          </w:p>
        </w:tc>
      </w:tr>
    </w:tbl>
    <w:p w14:paraId="0B776C60">
      <w:pPr>
        <w:widowControl/>
        <w:spacing w:line="360" w:lineRule="auto"/>
        <w:rPr>
          <w:rFonts w:ascii="黑体" w:hAnsi="黑体" w:eastAsia="黑体" w:cs="宋体"/>
          <w:b/>
          <w:bCs/>
          <w:kern w:val="0"/>
          <w:sz w:val="28"/>
          <w:szCs w:val="18"/>
        </w:rPr>
      </w:pPr>
    </w:p>
    <w:p w14:paraId="082777B6">
      <w:pPr>
        <w:widowControl/>
        <w:spacing w:line="360" w:lineRule="auto"/>
        <w:rPr>
          <w:rFonts w:ascii="黑体" w:hAnsi="黑体" w:eastAsia="黑体" w:cs="宋体"/>
          <w:b/>
          <w:bCs/>
          <w:kern w:val="0"/>
          <w:sz w:val="28"/>
          <w:szCs w:val="18"/>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0098C576">
      <w:pPr>
        <w:widowControl/>
        <w:spacing w:line="360" w:lineRule="auto"/>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52672A3E">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、谈判、澄清、签约等。供应商代表在</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AAED535">
      <w:pPr>
        <w:sectPr>
          <w:pgSz w:w="11906" w:h="16838"/>
          <w:pgMar w:top="1418" w:right="1418" w:bottom="1418" w:left="1418" w:header="851" w:footer="992" w:gutter="0"/>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31F94070">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56FDD3A5">
      <w:pPr>
        <w:sectPr>
          <w:pgSz w:w="11906" w:h="16838"/>
          <w:pgMar w:top="1418" w:right="1418" w:bottom="1418" w:left="1418" w:header="851" w:footer="992" w:gutter="0"/>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0E16003A">
      <w:pPr>
        <w:sectPr>
          <w:pgSz w:w="11906" w:h="16838"/>
          <w:pgMar w:top="1418" w:right="1418" w:bottom="1418" w:left="1418" w:header="851" w:footer="992" w:gutter="0"/>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项目的谈判邀请，我司对该项目做出如下服务承诺：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8"/>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8"/>
      <w:framePr w:wrap="around" w:vAnchor="text" w:hAnchor="margin" w:xAlign="right" w:y="1"/>
      <w:rPr>
        <w:rStyle w:val="46"/>
      </w:rPr>
    </w:pPr>
    <w:r>
      <w:fldChar w:fldCharType="begin"/>
    </w:r>
    <w:r>
      <w:rPr>
        <w:rStyle w:val="46"/>
      </w:rPr>
      <w:instrText xml:space="preserve">PAGE  </w:instrText>
    </w:r>
    <w:r>
      <w:fldChar w:fldCharType="end"/>
    </w:r>
  </w:p>
  <w:p w14:paraId="4FE26F0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8"/>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153E470C"/>
    <w:rsid w:val="16625582"/>
    <w:rsid w:val="196134F8"/>
    <w:rsid w:val="1CE819CC"/>
    <w:rsid w:val="264458DF"/>
    <w:rsid w:val="2FB330EF"/>
    <w:rsid w:val="3190024E"/>
    <w:rsid w:val="39592B25"/>
    <w:rsid w:val="3FDE40E0"/>
    <w:rsid w:val="4BFC308A"/>
    <w:rsid w:val="4F5166AD"/>
    <w:rsid w:val="5A3A2B60"/>
    <w:rsid w:val="5BF55E28"/>
    <w:rsid w:val="63BF57D7"/>
    <w:rsid w:val="68227A13"/>
    <w:rsid w:val="6BED7C57"/>
    <w:rsid w:val="7AD52BAB"/>
    <w:rsid w:val="D3E7BB79"/>
    <w:rsid w:val="DF1F2217"/>
    <w:rsid w:val="E77C4C75"/>
    <w:rsid w:val="ED1DACF1"/>
    <w:rsid w:val="EEF6A08E"/>
    <w:rsid w:val="FBEF5036"/>
    <w:rsid w:val="FE5F2BCE"/>
    <w:rsid w:val="FE7F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0"/>
    <w:qFormat/>
    <w:uiPriority w:val="9"/>
    <w:pPr>
      <w:keepNext/>
      <w:keepLines/>
      <w:spacing w:beforeLines="100" w:afterLines="100"/>
      <w:jc w:val="center"/>
      <w:outlineLvl w:val="0"/>
    </w:pPr>
    <w:rPr>
      <w:rFonts w:eastAsia="黑体"/>
      <w:b/>
      <w:bCs/>
      <w:kern w:val="0"/>
      <w:sz w:val="32"/>
      <w:szCs w:val="44"/>
    </w:rPr>
  </w:style>
  <w:style w:type="paragraph" w:styleId="6">
    <w:name w:val="heading 2"/>
    <w:basedOn w:val="1"/>
    <w:next w:val="1"/>
    <w:link w:val="55"/>
    <w:qFormat/>
    <w:uiPriority w:val="9"/>
    <w:pPr>
      <w:keepNext/>
      <w:keepLines/>
      <w:spacing w:beforeLines="100" w:afterLines="100"/>
      <w:jc w:val="center"/>
      <w:outlineLvl w:val="1"/>
    </w:pPr>
    <w:rPr>
      <w:rFonts w:ascii="Arial" w:hAnsi="Arial" w:eastAsia="黑体"/>
      <w:b/>
      <w:bCs/>
      <w:sz w:val="30"/>
      <w:szCs w:val="32"/>
    </w:rPr>
  </w:style>
  <w:style w:type="paragraph" w:styleId="7">
    <w:name w:val="heading 3"/>
    <w:basedOn w:val="1"/>
    <w:next w:val="1"/>
    <w:link w:val="62"/>
    <w:qFormat/>
    <w:uiPriority w:val="9"/>
    <w:pPr>
      <w:keepNext/>
      <w:keepLines/>
      <w:spacing w:before="260" w:after="260" w:line="416" w:lineRule="auto"/>
      <w:outlineLvl w:val="2"/>
    </w:pPr>
    <w:rPr>
      <w:rFonts w:eastAsia="黑体"/>
      <w:b/>
      <w:bCs/>
      <w:sz w:val="28"/>
      <w:szCs w:val="32"/>
    </w:rPr>
  </w:style>
  <w:style w:type="paragraph" w:styleId="8">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9">
    <w:name w:val="heading 5"/>
    <w:basedOn w:val="1"/>
    <w:next w:val="1"/>
    <w:qFormat/>
    <w:uiPriority w:val="0"/>
    <w:pPr>
      <w:keepNext/>
      <w:jc w:val="center"/>
      <w:outlineLvl w:val="4"/>
    </w:pPr>
    <w:rPr>
      <w:rFonts w:ascii="Arial" w:hAnsi="Arial"/>
      <w:sz w:val="28"/>
    </w:rPr>
  </w:style>
  <w:style w:type="paragraph" w:styleId="10">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11">
    <w:name w:val="heading 7"/>
    <w:basedOn w:val="1"/>
    <w:next w:val="12"/>
    <w:qFormat/>
    <w:uiPriority w:val="0"/>
    <w:pPr>
      <w:keepNext/>
      <w:keepLines/>
      <w:spacing w:before="240" w:after="64" w:line="320" w:lineRule="auto"/>
      <w:outlineLvl w:val="6"/>
    </w:pPr>
    <w:rPr>
      <w:b/>
      <w:sz w:val="24"/>
    </w:rPr>
  </w:style>
  <w:style w:type="paragraph" w:styleId="13">
    <w:name w:val="heading 8"/>
    <w:basedOn w:val="1"/>
    <w:next w:val="12"/>
    <w:qFormat/>
    <w:uiPriority w:val="0"/>
    <w:pPr>
      <w:keepNext/>
      <w:keepLines/>
      <w:spacing w:before="240" w:after="64" w:line="320" w:lineRule="auto"/>
      <w:outlineLvl w:val="7"/>
    </w:pPr>
    <w:rPr>
      <w:rFonts w:ascii="Arial" w:hAnsi="Arial" w:eastAsia="黑体"/>
      <w:sz w:val="24"/>
    </w:rPr>
  </w:style>
  <w:style w:type="paragraph" w:styleId="14">
    <w:name w:val="heading 9"/>
    <w:basedOn w:val="1"/>
    <w:next w:val="12"/>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Times New Roman"/>
    </w:rPr>
  </w:style>
  <w:style w:type="paragraph" w:styleId="3">
    <w:name w:val="Body Text Indent"/>
    <w:basedOn w:val="1"/>
    <w:next w:val="4"/>
    <w:qFormat/>
    <w:uiPriority w:val="0"/>
    <w:pPr>
      <w:ind w:left="-4" w:leftChars="-2" w:firstLine="560" w:firstLineChars="200"/>
    </w:pPr>
    <w:rPr>
      <w:rFonts w:ascii="宋体"/>
      <w:sz w:val="28"/>
    </w:rPr>
  </w:style>
  <w:style w:type="paragraph" w:styleId="4">
    <w:name w:val="envelope return"/>
    <w:basedOn w:val="1"/>
    <w:qFormat/>
    <w:uiPriority w:val="0"/>
    <w:pPr>
      <w:snapToGrid w:val="0"/>
    </w:pPr>
    <w:rPr>
      <w:rFonts w:ascii="Arial" w:hAnsi="Arial"/>
    </w:rPr>
  </w:style>
  <w:style w:type="paragraph" w:styleId="12">
    <w:name w:val="Normal Indent"/>
    <w:basedOn w:val="1"/>
    <w:link w:val="63"/>
    <w:qFormat/>
    <w:uiPriority w:val="0"/>
    <w:pPr>
      <w:widowControl/>
      <w:ind w:left="425"/>
      <w:jc w:val="left"/>
    </w:pPr>
    <w:rPr>
      <w:kern w:val="0"/>
      <w:sz w:val="20"/>
      <w:szCs w:val="20"/>
      <w:lang w:eastAsia="en-US"/>
    </w:rPr>
  </w:style>
  <w:style w:type="paragraph" w:styleId="15">
    <w:name w:val="toc 7"/>
    <w:basedOn w:val="1"/>
    <w:next w:val="1"/>
    <w:qFormat/>
    <w:uiPriority w:val="0"/>
    <w:pPr>
      <w:ind w:left="1260"/>
      <w:jc w:val="left"/>
    </w:pPr>
    <w:rPr>
      <w:sz w:val="18"/>
      <w:szCs w:val="18"/>
    </w:rPr>
  </w:style>
  <w:style w:type="paragraph" w:styleId="16">
    <w:name w:val="Document Map"/>
    <w:basedOn w:val="1"/>
    <w:qFormat/>
    <w:uiPriority w:val="0"/>
    <w:pPr>
      <w:shd w:val="clear" w:color="auto" w:fill="000080"/>
    </w:pPr>
  </w:style>
  <w:style w:type="paragraph" w:styleId="17">
    <w:name w:val="annotation text"/>
    <w:basedOn w:val="1"/>
    <w:link w:val="58"/>
    <w:qFormat/>
    <w:uiPriority w:val="99"/>
    <w:pPr>
      <w:jc w:val="left"/>
    </w:pPr>
  </w:style>
  <w:style w:type="paragraph" w:styleId="18">
    <w:name w:val="Body Text 3"/>
    <w:basedOn w:val="1"/>
    <w:qFormat/>
    <w:uiPriority w:val="0"/>
    <w:rPr>
      <w:rFonts w:ascii="宋体" w:hAnsi="宋体"/>
      <w:color w:val="000000"/>
      <w:sz w:val="28"/>
    </w:rPr>
  </w:style>
  <w:style w:type="paragraph" w:styleId="19">
    <w:name w:val="Body Text"/>
    <w:basedOn w:val="1"/>
    <w:next w:val="1"/>
    <w:qFormat/>
    <w:uiPriority w:val="0"/>
    <w:rPr>
      <w:color w:val="FF0000"/>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spacing w:line="360" w:lineRule="auto"/>
      <w:ind w:left="420"/>
      <w:jc w:val="left"/>
    </w:pPr>
    <w:rPr>
      <w:iCs/>
      <w:sz w:val="24"/>
      <w:szCs w:val="20"/>
    </w:rPr>
  </w:style>
  <w:style w:type="paragraph" w:styleId="22">
    <w:name w:val="Plain Text"/>
    <w:basedOn w:val="1"/>
    <w:link w:val="57"/>
    <w:qFormat/>
    <w:uiPriority w:val="0"/>
    <w:rPr>
      <w:rFonts w:ascii="宋体" w:hAnsi="Courier New" w:cs="Courier New"/>
      <w:szCs w:val="21"/>
    </w:rPr>
  </w:style>
  <w:style w:type="paragraph" w:styleId="23">
    <w:name w:val="toc 8"/>
    <w:basedOn w:val="1"/>
    <w:next w:val="1"/>
    <w:qFormat/>
    <w:uiPriority w:val="0"/>
    <w:pPr>
      <w:ind w:left="1470"/>
      <w:jc w:val="left"/>
    </w:pPr>
    <w:rPr>
      <w:sz w:val="18"/>
      <w:szCs w:val="18"/>
    </w:rPr>
  </w:style>
  <w:style w:type="paragraph" w:styleId="24">
    <w:name w:val="index 3"/>
    <w:basedOn w:val="1"/>
    <w:next w:val="1"/>
    <w:qFormat/>
    <w:uiPriority w:val="0"/>
    <w:pPr>
      <w:tabs>
        <w:tab w:val="left" w:pos="1756"/>
      </w:tabs>
      <w:ind w:left="1756" w:hanging="425"/>
    </w:pPr>
    <w:rPr>
      <w:sz w:val="24"/>
    </w:rPr>
  </w:style>
  <w:style w:type="paragraph" w:styleId="25">
    <w:name w:val="Date"/>
    <w:basedOn w:val="1"/>
    <w:next w:val="1"/>
    <w:link w:val="56"/>
    <w:qFormat/>
    <w:uiPriority w:val="0"/>
    <w:rPr>
      <w:sz w:val="28"/>
      <w:szCs w:val="20"/>
    </w:rPr>
  </w:style>
  <w:style w:type="paragraph" w:styleId="26">
    <w:name w:val="Body Text Indent 2"/>
    <w:basedOn w:val="1"/>
    <w:link w:val="101"/>
    <w:qFormat/>
    <w:uiPriority w:val="0"/>
    <w:pPr>
      <w:tabs>
        <w:tab w:val="left" w:pos="1140"/>
      </w:tabs>
      <w:ind w:firstLine="560" w:firstLineChars="200"/>
    </w:pPr>
    <w:rPr>
      <w:rFonts w:ascii="Arial" w:hAnsi="Arial"/>
      <w:color w:val="000000"/>
      <w:sz w:val="28"/>
    </w:rPr>
  </w:style>
  <w:style w:type="paragraph" w:styleId="27">
    <w:name w:val="Balloon Text"/>
    <w:basedOn w:val="1"/>
    <w:qFormat/>
    <w:uiPriority w:val="0"/>
    <w:rPr>
      <w:sz w:val="18"/>
      <w:szCs w:val="18"/>
    </w:rPr>
  </w:style>
  <w:style w:type="paragraph" w:styleId="28">
    <w:name w:val="footer"/>
    <w:basedOn w:val="1"/>
    <w:link w:val="103"/>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line="360" w:lineRule="auto"/>
      <w:jc w:val="left"/>
    </w:pPr>
    <w:rPr>
      <w:b/>
      <w:bCs/>
      <w:caps/>
      <w:sz w:val="24"/>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szCs w:val="18"/>
    </w:rPr>
  </w:style>
  <w:style w:type="paragraph" w:styleId="34">
    <w:name w:val="toc 6"/>
    <w:basedOn w:val="1"/>
    <w:next w:val="1"/>
    <w:qFormat/>
    <w:uiPriority w:val="0"/>
    <w:pPr>
      <w:ind w:left="1050"/>
      <w:jc w:val="left"/>
    </w:pPr>
    <w:rPr>
      <w:sz w:val="18"/>
      <w:szCs w:val="18"/>
    </w:rPr>
  </w:style>
  <w:style w:type="paragraph" w:styleId="35">
    <w:name w:val="Body Text Indent 3"/>
    <w:basedOn w:val="1"/>
    <w:qFormat/>
    <w:uiPriority w:val="0"/>
    <w:pPr>
      <w:ind w:left="360" w:firstLine="480"/>
    </w:pPr>
    <w:rPr>
      <w:sz w:val="24"/>
      <w:szCs w:val="20"/>
    </w:rPr>
  </w:style>
  <w:style w:type="paragraph" w:styleId="36">
    <w:name w:val="toc 2"/>
    <w:basedOn w:val="1"/>
    <w:next w:val="1"/>
    <w:qFormat/>
    <w:uiPriority w:val="39"/>
    <w:pPr>
      <w:spacing w:line="360" w:lineRule="auto"/>
      <w:ind w:left="210"/>
      <w:jc w:val="left"/>
    </w:pPr>
    <w:rPr>
      <w:smallCaps/>
      <w:sz w:val="24"/>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rPr>
      <w:rFonts w:ascii="Arial" w:hAnsi="Arial"/>
      <w:b/>
      <w:bCs/>
      <w:sz w:val="28"/>
    </w:rPr>
  </w:style>
  <w:style w:type="paragraph" w:styleId="39">
    <w:name w:val="Normal (Web)"/>
    <w:basedOn w:val="1"/>
    <w:qFormat/>
    <w:uiPriority w:val="99"/>
    <w:pPr>
      <w:spacing w:line="300" w:lineRule="auto"/>
    </w:pPr>
    <w:rPr>
      <w:sz w:val="24"/>
    </w:rPr>
  </w:style>
  <w:style w:type="paragraph" w:styleId="40">
    <w:name w:val="annotation subject"/>
    <w:basedOn w:val="17"/>
    <w:next w:val="17"/>
    <w:link w:val="105"/>
    <w:qFormat/>
    <w:uiPriority w:val="99"/>
    <w:rPr>
      <w:b/>
      <w:bCs/>
    </w:rPr>
  </w:style>
  <w:style w:type="paragraph" w:styleId="41">
    <w:name w:val="Body Text First Indent"/>
    <w:basedOn w:val="1"/>
    <w:next w:val="1"/>
    <w:qFormat/>
    <w:uiPriority w:val="99"/>
    <w:pPr>
      <w:spacing w:after="120" w:line="275" w:lineRule="atLeast"/>
      <w:ind w:firstLine="420"/>
      <w:textAlignment w:val="baseline"/>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character" w:customStyle="1" w:styleId="52">
    <w:name w:val="title21"/>
    <w:qFormat/>
    <w:uiPriority w:val="0"/>
    <w:rPr>
      <w:b/>
      <w:bCs/>
      <w:color w:val="000000"/>
      <w:sz w:val="20"/>
      <w:szCs w:val="20"/>
      <w:u w:val="none"/>
    </w:rPr>
  </w:style>
  <w:style w:type="character" w:customStyle="1" w:styleId="53">
    <w:name w:val="Texte Char"/>
    <w:qFormat/>
    <w:uiPriority w:val="0"/>
    <w:rPr>
      <w:rFonts w:ascii="宋体" w:hAnsi="Courier New" w:eastAsia="宋体"/>
      <w:kern w:val="2"/>
      <w:sz w:val="21"/>
      <w:szCs w:val="21"/>
      <w:lang w:val="en-US" w:eastAsia="zh-CN" w:bidi="ar-SA"/>
    </w:rPr>
  </w:style>
  <w:style w:type="character" w:customStyle="1" w:styleId="54">
    <w:name w:val="content1"/>
    <w:qFormat/>
    <w:uiPriority w:val="0"/>
    <w:rPr>
      <w:sz w:val="18"/>
      <w:szCs w:val="18"/>
    </w:rPr>
  </w:style>
  <w:style w:type="character" w:customStyle="1" w:styleId="55">
    <w:name w:val="标题 2 Char"/>
    <w:link w:val="6"/>
    <w:qFormat/>
    <w:uiPriority w:val="9"/>
    <w:rPr>
      <w:rFonts w:ascii="Arial" w:hAnsi="Arial" w:eastAsia="黑体"/>
      <w:b/>
      <w:bCs/>
      <w:kern w:val="2"/>
      <w:sz w:val="30"/>
      <w:szCs w:val="32"/>
    </w:rPr>
  </w:style>
  <w:style w:type="character" w:customStyle="1" w:styleId="56">
    <w:name w:val="日期 Char"/>
    <w:link w:val="25"/>
    <w:qFormat/>
    <w:uiPriority w:val="0"/>
    <w:rPr>
      <w:rFonts w:eastAsia="宋体"/>
      <w:kern w:val="2"/>
      <w:sz w:val="28"/>
      <w:lang w:val="en-US" w:eastAsia="zh-CN" w:bidi="ar-SA"/>
    </w:rPr>
  </w:style>
  <w:style w:type="character" w:customStyle="1" w:styleId="57">
    <w:name w:val="纯文本 Char1"/>
    <w:link w:val="22"/>
    <w:qFormat/>
    <w:uiPriority w:val="0"/>
    <w:rPr>
      <w:rFonts w:ascii="宋体" w:hAnsi="Courier New" w:eastAsia="宋体" w:cs="Courier New"/>
      <w:kern w:val="2"/>
      <w:sz w:val="21"/>
      <w:szCs w:val="21"/>
      <w:lang w:val="en-US" w:eastAsia="zh-CN" w:bidi="ar-SA"/>
    </w:rPr>
  </w:style>
  <w:style w:type="character" w:customStyle="1" w:styleId="58">
    <w:name w:val="批注文字 Char"/>
    <w:link w:val="17"/>
    <w:qFormat/>
    <w:uiPriority w:val="99"/>
    <w:rPr>
      <w:rFonts w:eastAsia="宋体"/>
      <w:kern w:val="2"/>
      <w:sz w:val="21"/>
      <w:szCs w:val="24"/>
      <w:lang w:val="en-US" w:eastAsia="zh-CN" w:bidi="ar-SA"/>
    </w:rPr>
  </w:style>
  <w:style w:type="character" w:customStyle="1" w:styleId="59">
    <w:name w:val="font1"/>
    <w:basedOn w:val="44"/>
    <w:qFormat/>
    <w:uiPriority w:val="0"/>
  </w:style>
  <w:style w:type="character" w:customStyle="1" w:styleId="60">
    <w:name w:val="标题 1 Char"/>
    <w:link w:val="5"/>
    <w:qFormat/>
    <w:uiPriority w:val="9"/>
    <w:rPr>
      <w:rFonts w:eastAsia="黑体"/>
      <w:b/>
      <w:bCs/>
      <w:sz w:val="32"/>
      <w:szCs w:val="44"/>
    </w:rPr>
  </w:style>
  <w:style w:type="character" w:customStyle="1" w:styleId="61">
    <w:name w:val="Char Char7"/>
    <w:qFormat/>
    <w:uiPriority w:val="0"/>
    <w:rPr>
      <w:rFonts w:ascii="Arial" w:hAnsi="Arial" w:eastAsia="黑体"/>
      <w:b/>
      <w:bCs/>
      <w:kern w:val="2"/>
      <w:sz w:val="30"/>
      <w:szCs w:val="32"/>
      <w:lang w:val="en-US" w:eastAsia="zh-CN" w:bidi="ar-SA"/>
    </w:rPr>
  </w:style>
  <w:style w:type="character" w:customStyle="1" w:styleId="62">
    <w:name w:val="标题 3 Char"/>
    <w:link w:val="7"/>
    <w:qFormat/>
    <w:uiPriority w:val="9"/>
    <w:rPr>
      <w:rFonts w:eastAsia="黑体"/>
      <w:b/>
      <w:bCs/>
      <w:kern w:val="2"/>
      <w:sz w:val="28"/>
      <w:szCs w:val="32"/>
      <w:lang w:val="en-US" w:eastAsia="zh-CN" w:bidi="ar-SA"/>
    </w:rPr>
  </w:style>
  <w:style w:type="character" w:customStyle="1" w:styleId="63">
    <w:name w:val="正文缩进 Char"/>
    <w:link w:val="12"/>
    <w:qFormat/>
    <w:uiPriority w:val="0"/>
    <w:rPr>
      <w:rFonts w:eastAsia="宋体"/>
      <w:lang w:val="en-US" w:eastAsia="en-US" w:bidi="ar-SA"/>
    </w:rPr>
  </w:style>
  <w:style w:type="character" w:customStyle="1" w:styleId="64">
    <w:name w:val="Char Char4"/>
    <w:qFormat/>
    <w:uiPriority w:val="0"/>
    <w:rPr>
      <w:rFonts w:ascii="Arial" w:hAnsi="Arial" w:eastAsia="黑体"/>
      <w:b/>
      <w:bCs/>
      <w:kern w:val="2"/>
      <w:sz w:val="30"/>
      <w:szCs w:val="32"/>
      <w:lang w:val="en-US" w:eastAsia="zh-CN" w:bidi="ar-SA"/>
    </w:rPr>
  </w:style>
  <w:style w:type="paragraph" w:customStyle="1" w:styleId="65">
    <w:name w:val="Char Char Char1 Char Char Char Char"/>
    <w:basedOn w:val="1"/>
    <w:qFormat/>
    <w:uiPriority w:val="0"/>
    <w:pPr>
      <w:widowControl/>
      <w:spacing w:after="160" w:line="240" w:lineRule="exact"/>
      <w:jc w:val="left"/>
    </w:pPr>
    <w:rPr>
      <w:szCs w:val="20"/>
    </w:rPr>
  </w:style>
  <w:style w:type="paragraph" w:customStyle="1" w:styleId="66">
    <w:name w:val="CM10"/>
    <w:basedOn w:val="67"/>
    <w:next w:val="67"/>
    <w:qFormat/>
    <w:uiPriority w:val="0"/>
    <w:pPr>
      <w:spacing w:line="468" w:lineRule="atLeast"/>
    </w:pPr>
    <w:rPr>
      <w:color w:val="auto"/>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8">
    <w:name w:val="小标题"/>
    <w:basedOn w:val="1"/>
    <w:next w:val="12"/>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9">
    <w:name w:val="List Paragraph"/>
    <w:basedOn w:val="1"/>
    <w:link w:val="100"/>
    <w:qFormat/>
    <w:uiPriority w:val="34"/>
    <w:pPr>
      <w:ind w:firstLine="420" w:firstLineChars="200"/>
    </w:pPr>
    <w:rPr>
      <w:rFonts w:ascii="Calibri" w:hAnsi="Calibri"/>
      <w:szCs w:val="22"/>
    </w:rPr>
  </w:style>
  <w:style w:type="paragraph" w:customStyle="1" w:styleId="70">
    <w:name w:val="样式 标题 2PIM2H2Heading 2 Hidden2nd levelh22Header 2l2DO N..."/>
    <w:basedOn w:val="6"/>
    <w:qFormat/>
    <w:uiPriority w:val="0"/>
    <w:pPr>
      <w:jc w:val="left"/>
    </w:pPr>
    <w:rPr>
      <w:rFonts w:cs="宋体"/>
      <w:sz w:val="28"/>
      <w:szCs w:val="20"/>
    </w:rPr>
  </w:style>
  <w:style w:type="paragraph" w:customStyle="1" w:styleId="71">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编号1"/>
    <w:basedOn w:val="1"/>
    <w:qFormat/>
    <w:uiPriority w:val="0"/>
    <w:pPr>
      <w:spacing w:line="360" w:lineRule="auto"/>
    </w:pPr>
    <w:rPr>
      <w:rFonts w:ascii="Arial" w:hAnsi="Arial"/>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5">
    <w:name w:val="表头文本"/>
    <w:basedOn w:val="1"/>
    <w:qFormat/>
    <w:uiPriority w:val="0"/>
    <w:pPr>
      <w:autoSpaceDE w:val="0"/>
      <w:autoSpaceDN w:val="0"/>
      <w:adjustRightInd w:val="0"/>
      <w:jc w:val="center"/>
    </w:pPr>
    <w:rPr>
      <w:b/>
      <w:kern w:val="0"/>
      <w:sz w:val="24"/>
      <w:szCs w:val="20"/>
    </w:rPr>
  </w:style>
  <w:style w:type="paragraph" w:customStyle="1" w:styleId="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0">
    <w:name w:val="4"/>
    <w:basedOn w:val="1"/>
    <w:next w:val="22"/>
    <w:qFormat/>
    <w:uiPriority w:val="0"/>
    <w:rPr>
      <w:rFonts w:ascii="宋体" w:hAnsi="Courier New" w:cs="Courier New"/>
      <w:szCs w:val="21"/>
    </w:rPr>
  </w:style>
  <w:style w:type="paragraph" w:customStyle="1" w:styleId="81">
    <w:name w:val="表格文字"/>
    <w:basedOn w:val="1"/>
    <w:qFormat/>
    <w:uiPriority w:val="0"/>
  </w:style>
  <w:style w:type="paragraph" w:customStyle="1" w:styleId="82">
    <w:name w:val="纯文本 Char"/>
    <w:basedOn w:val="1"/>
    <w:next w:val="22"/>
    <w:qFormat/>
    <w:uiPriority w:val="0"/>
    <w:rPr>
      <w:rFonts w:ascii="宋体" w:hAnsi="Courier New"/>
      <w:szCs w:val="20"/>
    </w:rPr>
  </w:style>
  <w:style w:type="paragraph" w:customStyle="1" w:styleId="83">
    <w:name w:val="样式3"/>
    <w:basedOn w:val="22"/>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5"/>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69"/>
    <w:qFormat/>
    <w:uiPriority w:val="0"/>
    <w:rPr>
      <w:rFonts w:ascii="Calibri" w:hAnsi="Calibri"/>
      <w:kern w:val="2"/>
      <w:sz w:val="21"/>
      <w:szCs w:val="22"/>
    </w:rPr>
  </w:style>
  <w:style w:type="character" w:customStyle="1" w:styleId="101">
    <w:name w:val="正文文本缩进 2 Char"/>
    <w:link w:val="26"/>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8"/>
    <w:qFormat/>
    <w:uiPriority w:val="99"/>
    <w:rPr>
      <w:kern w:val="2"/>
      <w:sz w:val="18"/>
      <w:szCs w:val="18"/>
    </w:rPr>
  </w:style>
  <w:style w:type="character" w:customStyle="1" w:styleId="104">
    <w:name w:val="副标题 Char"/>
    <w:basedOn w:val="44"/>
    <w:link w:val="32"/>
    <w:qFormat/>
    <w:uiPriority w:val="0"/>
    <w:rPr>
      <w:rFonts w:ascii="Cambria" w:hAnsi="Cambria"/>
      <w:b/>
      <w:bCs/>
      <w:kern w:val="28"/>
      <w:sz w:val="32"/>
      <w:szCs w:val="32"/>
    </w:rPr>
  </w:style>
  <w:style w:type="character" w:customStyle="1" w:styleId="105">
    <w:name w:val="批注主题 Char"/>
    <w:basedOn w:val="58"/>
    <w:link w:val="40"/>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30</Pages>
  <Words>1443</Words>
  <Characters>1570</Characters>
  <Lines>54</Lines>
  <Paragraphs>15</Paragraphs>
  <TotalTime>1</TotalTime>
  <ScaleCrop>false</ScaleCrop>
  <LinksUpToDate>false</LinksUpToDate>
  <CharactersWithSpaces>1611</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2023-05-16T13:34:00Z</dcterms:created>
  <dc:creator>黄振斌</dc:creator>
  <cp:lastModifiedBy>xlyy</cp:lastModifiedBy>
  <cp:lastPrinted>2025-12-12T00:13:00Z</cp:lastPrinted>
  <dcterms:modified xsi:type="dcterms:W3CDTF">2026-02-02T11:14:22Z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eyJoZGlkIjoiYjY5OWNjZDlmMzgwZDliNzFmMWJhOGEyODZjYmM3MDgiLCJ1c2VySWQiOiIxMDczOTE5MTEyIn0=</vt:lpwstr>
  </property>
  <property fmtid="{D5CDD505-2E9C-101B-9397-08002B2CF9AE}" pid="4" name="ICV">
    <vt:lpwstr>99B3B92D560D41129C97D98C06690AEA_13</vt:lpwstr>
  </property>
</Properties>
</file>